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534" w:rsidRPr="00111560" w:rsidRDefault="006A1B8B" w:rsidP="005D6534">
      <w:pPr>
        <w:pStyle w:val="Default"/>
        <w:rPr>
          <w:rFonts w:asciiTheme="minorHAnsi" w:hAnsiTheme="minorHAnsi" w:cstheme="minorHAnsi"/>
          <w:b/>
          <w:bCs/>
          <w:sz w:val="20"/>
          <w:szCs w:val="20"/>
        </w:rPr>
      </w:pPr>
      <w:r w:rsidRPr="005B7A7C">
        <w:rPr>
          <w:rFonts w:asciiTheme="minorHAnsi" w:hAnsiTheme="minorHAnsi" w:cstheme="minorHAnsi"/>
          <w:b/>
          <w:bCs/>
          <w:caps/>
          <w:noProof/>
          <w:sz w:val="20"/>
          <w:szCs w:val="20"/>
          <w:lang w:eastAsia="en-CA"/>
        </w:rPr>
        <w:drawing>
          <wp:anchor distT="0" distB="0" distL="114300" distR="114300" simplePos="0" relativeHeight="251658240" behindDoc="0" locked="0" layoutInCell="1" allowOverlap="1" wp14:anchorId="1A79E2B3" wp14:editId="50FAB0C3">
            <wp:simplePos x="0" y="0"/>
            <wp:positionH relativeFrom="column">
              <wp:posOffset>4968240</wp:posOffset>
            </wp:positionH>
            <wp:positionV relativeFrom="paragraph">
              <wp:posOffset>-434340</wp:posOffset>
            </wp:positionV>
            <wp:extent cx="784860" cy="102424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9818" cy="10307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18B6">
        <w:rPr>
          <w:rFonts w:asciiTheme="minorHAnsi" w:hAnsiTheme="minorHAnsi" w:cstheme="minorHAnsi"/>
          <w:b/>
          <w:bCs/>
          <w:noProof/>
          <w:sz w:val="20"/>
          <w:szCs w:val="20"/>
          <w:lang w:eastAsia="en-CA"/>
        </w:rPr>
        <w:t>February</w:t>
      </w:r>
      <w:r w:rsidR="009C2883">
        <w:rPr>
          <w:rFonts w:asciiTheme="minorHAnsi" w:hAnsiTheme="minorHAnsi" w:cstheme="minorHAnsi"/>
          <w:b/>
          <w:bCs/>
          <w:noProof/>
          <w:sz w:val="20"/>
          <w:szCs w:val="20"/>
          <w:lang w:eastAsia="en-CA"/>
        </w:rPr>
        <w:t xml:space="preserve"> 2017</w:t>
      </w:r>
    </w:p>
    <w:p w:rsidR="00043D3F" w:rsidRPr="00111560" w:rsidRDefault="00043D3F" w:rsidP="005D6534">
      <w:pPr>
        <w:pStyle w:val="Default"/>
        <w:rPr>
          <w:rFonts w:asciiTheme="minorHAnsi" w:hAnsiTheme="minorHAnsi" w:cstheme="minorHAnsi"/>
          <w:b/>
          <w:bCs/>
          <w:sz w:val="20"/>
          <w:szCs w:val="20"/>
        </w:rPr>
      </w:pPr>
      <w:r w:rsidRPr="00111560">
        <w:rPr>
          <w:rFonts w:asciiTheme="minorHAnsi" w:hAnsiTheme="minorHAnsi" w:cstheme="minorHAnsi"/>
          <w:b/>
          <w:bCs/>
          <w:sz w:val="20"/>
          <w:szCs w:val="20"/>
        </w:rPr>
        <w:t xml:space="preserve">MONTHLY </w:t>
      </w:r>
      <w:proofErr w:type="spellStart"/>
      <w:r w:rsidR="00107580" w:rsidRPr="00111560">
        <w:rPr>
          <w:rFonts w:asciiTheme="minorHAnsi" w:hAnsiTheme="minorHAnsi" w:cstheme="minorHAnsi"/>
          <w:b/>
          <w:bCs/>
          <w:sz w:val="20"/>
          <w:szCs w:val="20"/>
        </w:rPr>
        <w:t>VPA</w:t>
      </w:r>
      <w:proofErr w:type="spellEnd"/>
      <w:r w:rsidR="00107580" w:rsidRPr="00111560">
        <w:rPr>
          <w:rFonts w:asciiTheme="minorHAnsi" w:hAnsiTheme="minorHAnsi" w:cstheme="minorHAnsi"/>
          <w:b/>
          <w:bCs/>
          <w:sz w:val="20"/>
          <w:szCs w:val="20"/>
        </w:rPr>
        <w:t xml:space="preserve"> </w:t>
      </w:r>
      <w:r w:rsidRPr="00111560">
        <w:rPr>
          <w:rFonts w:asciiTheme="minorHAnsi" w:hAnsiTheme="minorHAnsi" w:cstheme="minorHAnsi"/>
          <w:b/>
          <w:bCs/>
          <w:sz w:val="20"/>
          <w:szCs w:val="20"/>
        </w:rPr>
        <w:t>REPORT</w:t>
      </w:r>
    </w:p>
    <w:p w:rsidR="00043D3F" w:rsidRPr="00111560" w:rsidRDefault="00043D3F" w:rsidP="005D6534">
      <w:pPr>
        <w:pStyle w:val="Default"/>
        <w:rPr>
          <w:rFonts w:asciiTheme="minorHAnsi" w:hAnsiTheme="minorHAnsi" w:cstheme="minorHAnsi"/>
          <w:b/>
          <w:bCs/>
          <w:sz w:val="20"/>
          <w:szCs w:val="20"/>
        </w:rPr>
      </w:pPr>
    </w:p>
    <w:p w:rsidR="005D6534" w:rsidRPr="00111560" w:rsidRDefault="00F215AD" w:rsidP="005D6534">
      <w:pPr>
        <w:pStyle w:val="Default"/>
        <w:rPr>
          <w:rFonts w:asciiTheme="minorHAnsi" w:hAnsiTheme="minorHAnsi" w:cstheme="minorHAnsi"/>
          <w:b/>
          <w:bCs/>
          <w:sz w:val="20"/>
          <w:szCs w:val="20"/>
        </w:rPr>
      </w:pPr>
      <w:r>
        <w:rPr>
          <w:rFonts w:asciiTheme="minorHAnsi" w:hAnsiTheme="minorHAnsi" w:cstheme="minorHAnsi"/>
          <w:b/>
          <w:bCs/>
          <w:sz w:val="20"/>
          <w:szCs w:val="20"/>
        </w:rPr>
        <w:t>SCHOOL OF CONTINUING EDUCATION</w:t>
      </w:r>
    </w:p>
    <w:p w:rsidR="005D6534" w:rsidRPr="00111560" w:rsidRDefault="005D6534" w:rsidP="005D6534">
      <w:pPr>
        <w:pStyle w:val="Default"/>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576"/>
      </w:tblGrid>
      <w:tr w:rsidR="005D6534" w:rsidRPr="00111560" w:rsidTr="005D6534">
        <w:tc>
          <w:tcPr>
            <w:tcW w:w="9576" w:type="dxa"/>
          </w:tcPr>
          <w:p w:rsidR="005D6534" w:rsidRPr="00111560" w:rsidRDefault="00C05E57" w:rsidP="005D6534">
            <w:pPr>
              <w:pStyle w:val="Default"/>
              <w:rPr>
                <w:rFonts w:asciiTheme="minorHAnsi" w:hAnsiTheme="minorHAnsi" w:cstheme="minorHAnsi"/>
                <w:b/>
                <w:sz w:val="20"/>
                <w:szCs w:val="20"/>
              </w:rPr>
            </w:pPr>
            <w:r w:rsidRPr="00111560">
              <w:rPr>
                <w:rFonts w:asciiTheme="minorHAnsi" w:hAnsiTheme="minorHAnsi" w:cstheme="minorHAnsi"/>
                <w:b/>
                <w:sz w:val="20"/>
                <w:szCs w:val="20"/>
              </w:rPr>
              <w:t>ENHANCING OUR PROGRAMS</w:t>
            </w:r>
          </w:p>
          <w:p w:rsidR="00D71D17" w:rsidRPr="00111560" w:rsidRDefault="0079232D" w:rsidP="00803B99">
            <w:pPr>
              <w:pStyle w:val="Default"/>
              <w:rPr>
                <w:rFonts w:asciiTheme="minorHAnsi" w:hAnsiTheme="minorHAnsi" w:cstheme="minorHAnsi"/>
                <w:sz w:val="20"/>
                <w:szCs w:val="20"/>
              </w:rPr>
            </w:pPr>
            <w:r w:rsidRPr="00DF7567">
              <w:rPr>
                <w:rFonts w:asciiTheme="minorHAnsi" w:hAnsiTheme="minorHAnsi" w:cstheme="minorHAnsi"/>
                <w:sz w:val="20"/>
                <w:szCs w:val="20"/>
                <w:highlight w:val="yellow"/>
              </w:rPr>
              <w:t>Examples include: improving program quality, responding to local/regional/global labour market demand, arranging new bridging/articulation/transfer/collaborative agreements with other postsecondary institutions, forming new partnerships with First Nation communities and area employers, introducing  innovative and emerging technologies, increasing continuing education opportunities, developing greater flexibility in program offerings, infusing programs with community-based projects.</w:t>
            </w:r>
          </w:p>
          <w:p w:rsidR="00D71D17" w:rsidRPr="00111560" w:rsidRDefault="00D71D17" w:rsidP="00803B99">
            <w:pPr>
              <w:pStyle w:val="Default"/>
              <w:rPr>
                <w:rFonts w:asciiTheme="minorHAnsi" w:hAnsiTheme="minorHAnsi" w:cstheme="minorHAnsi"/>
                <w:sz w:val="20"/>
                <w:szCs w:val="20"/>
              </w:rPr>
            </w:pPr>
          </w:p>
        </w:tc>
      </w:tr>
      <w:tr w:rsidR="005D6534" w:rsidRPr="00111560" w:rsidTr="00BF618C">
        <w:trPr>
          <w:trHeight w:val="987"/>
        </w:trPr>
        <w:tc>
          <w:tcPr>
            <w:tcW w:w="9576" w:type="dxa"/>
          </w:tcPr>
          <w:p w:rsidR="00D82C7F" w:rsidRPr="00C623B8" w:rsidRDefault="00D82C7F" w:rsidP="00D82C7F">
            <w:pPr>
              <w:pStyle w:val="Default"/>
              <w:rPr>
                <w:rFonts w:asciiTheme="minorHAnsi" w:hAnsiTheme="minorHAnsi" w:cstheme="minorHAnsi"/>
                <w:b/>
                <w:sz w:val="20"/>
                <w:szCs w:val="20"/>
              </w:rPr>
            </w:pPr>
            <w:r w:rsidRPr="00111560">
              <w:rPr>
                <w:rFonts w:asciiTheme="minorHAnsi" w:hAnsiTheme="minorHAnsi" w:cstheme="minorHAnsi"/>
                <w:b/>
                <w:sz w:val="20"/>
                <w:szCs w:val="20"/>
              </w:rPr>
              <w:t xml:space="preserve">Registration Summary for </w:t>
            </w:r>
          </w:p>
          <w:p w:rsidR="00C173C6" w:rsidRDefault="00C173C6" w:rsidP="003A1515">
            <w:pPr>
              <w:rPr>
                <w:color w:val="000000"/>
                <w:sz w:val="20"/>
                <w:szCs w:val="20"/>
                <w:highlight w:val="yellow"/>
              </w:rPr>
            </w:pPr>
          </w:p>
          <w:p w:rsidR="00851193" w:rsidRPr="003348E9" w:rsidRDefault="00017C28" w:rsidP="00851193">
            <w:pPr>
              <w:rPr>
                <w:color w:val="000000"/>
                <w:sz w:val="20"/>
                <w:szCs w:val="20"/>
              </w:rPr>
            </w:pPr>
            <w:r>
              <w:rPr>
                <w:color w:val="000000"/>
                <w:sz w:val="20"/>
                <w:szCs w:val="20"/>
              </w:rPr>
              <w:t>Winter 201</w:t>
            </w:r>
            <w:r w:rsidR="00CD24DF">
              <w:rPr>
                <w:color w:val="000000"/>
                <w:sz w:val="20"/>
                <w:szCs w:val="20"/>
              </w:rPr>
              <w:t>7</w:t>
            </w:r>
          </w:p>
          <w:tbl>
            <w:tblPr>
              <w:tblStyle w:val="TableGrid"/>
              <w:tblW w:w="0" w:type="auto"/>
              <w:tblLook w:val="04A0" w:firstRow="1" w:lastRow="0" w:firstColumn="1" w:lastColumn="0" w:noHBand="0" w:noVBand="1"/>
            </w:tblPr>
            <w:tblGrid>
              <w:gridCol w:w="2405"/>
              <w:gridCol w:w="1418"/>
              <w:gridCol w:w="5522"/>
            </w:tblGrid>
            <w:tr w:rsidR="00851193" w:rsidTr="00851193">
              <w:tc>
                <w:tcPr>
                  <w:tcW w:w="9345" w:type="dxa"/>
                  <w:gridSpan w:val="3"/>
                </w:tcPr>
                <w:p w:rsidR="00687F54" w:rsidRDefault="00851193" w:rsidP="00687F54">
                  <w:pPr>
                    <w:rPr>
                      <w:sz w:val="20"/>
                      <w:szCs w:val="20"/>
                    </w:rPr>
                  </w:pPr>
                  <w:r w:rsidRPr="00851193">
                    <w:rPr>
                      <w:sz w:val="20"/>
                      <w:szCs w:val="20"/>
                    </w:rPr>
                    <w:t xml:space="preserve">                                 Total CE registrations current = </w:t>
                  </w:r>
                  <w:r w:rsidR="003F3A40">
                    <w:rPr>
                      <w:sz w:val="20"/>
                      <w:szCs w:val="20"/>
                    </w:rPr>
                    <w:t>997</w:t>
                  </w:r>
                  <w:r w:rsidRPr="00851193">
                    <w:rPr>
                      <w:sz w:val="20"/>
                      <w:szCs w:val="20"/>
                    </w:rPr>
                    <w:t xml:space="preserve">                                    </w:t>
                  </w:r>
                  <w:r w:rsidR="00017C28">
                    <w:rPr>
                      <w:sz w:val="20"/>
                      <w:szCs w:val="20"/>
                    </w:rPr>
                    <w:t>Winter 201</w:t>
                  </w:r>
                  <w:r w:rsidR="00CD24DF">
                    <w:rPr>
                      <w:sz w:val="20"/>
                      <w:szCs w:val="20"/>
                    </w:rPr>
                    <w:t>6</w:t>
                  </w:r>
                  <w:r w:rsidRPr="00851193">
                    <w:rPr>
                      <w:sz w:val="20"/>
                      <w:szCs w:val="20"/>
                    </w:rPr>
                    <w:t xml:space="preserve">  = </w:t>
                  </w:r>
                  <w:r w:rsidR="003F3A40">
                    <w:rPr>
                      <w:sz w:val="20"/>
                      <w:szCs w:val="20"/>
                    </w:rPr>
                    <w:t>1145</w:t>
                  </w:r>
                </w:p>
                <w:p w:rsidR="00851193" w:rsidRPr="00851193" w:rsidRDefault="006373A4" w:rsidP="003F3A40">
                  <w:pPr>
                    <w:rPr>
                      <w:sz w:val="20"/>
                      <w:szCs w:val="20"/>
                    </w:rPr>
                  </w:pPr>
                  <w:r>
                    <w:rPr>
                      <w:sz w:val="20"/>
                      <w:szCs w:val="20"/>
                    </w:rPr>
                    <w:t xml:space="preserve">Decrease of </w:t>
                  </w:r>
                  <w:r w:rsidR="003F3A40">
                    <w:rPr>
                      <w:sz w:val="20"/>
                      <w:szCs w:val="20"/>
                    </w:rPr>
                    <w:t>12.92</w:t>
                  </w:r>
                  <w:r w:rsidR="00017C28">
                    <w:rPr>
                      <w:sz w:val="20"/>
                      <w:szCs w:val="20"/>
                    </w:rPr>
                    <w:t>%</w:t>
                  </w:r>
                  <w:r w:rsidR="00851193" w:rsidRPr="00851193">
                    <w:rPr>
                      <w:sz w:val="20"/>
                      <w:szCs w:val="20"/>
                    </w:rPr>
                    <w:t xml:space="preserve"> </w:t>
                  </w:r>
                </w:p>
              </w:tc>
            </w:tr>
            <w:tr w:rsidR="00851193" w:rsidTr="00851193">
              <w:tc>
                <w:tcPr>
                  <w:tcW w:w="2405" w:type="dxa"/>
                </w:tcPr>
                <w:p w:rsidR="00851193" w:rsidRPr="00CA5E90" w:rsidRDefault="00851193" w:rsidP="00851193">
                  <w:pPr>
                    <w:rPr>
                      <w:b/>
                      <w:sz w:val="20"/>
                      <w:szCs w:val="20"/>
                    </w:rPr>
                  </w:pPr>
                  <w:r w:rsidRPr="00CA5E90">
                    <w:rPr>
                      <w:b/>
                      <w:sz w:val="20"/>
                      <w:szCs w:val="20"/>
                    </w:rPr>
                    <w:t>Programming Area</w:t>
                  </w:r>
                </w:p>
              </w:tc>
              <w:tc>
                <w:tcPr>
                  <w:tcW w:w="1418" w:type="dxa"/>
                </w:tcPr>
                <w:p w:rsidR="00851193" w:rsidRPr="00CA5E90" w:rsidRDefault="00851193" w:rsidP="00851193">
                  <w:pPr>
                    <w:rPr>
                      <w:b/>
                      <w:sz w:val="20"/>
                      <w:szCs w:val="20"/>
                    </w:rPr>
                  </w:pPr>
                  <w:r w:rsidRPr="00CA5E90">
                    <w:rPr>
                      <w:b/>
                      <w:sz w:val="20"/>
                      <w:szCs w:val="20"/>
                    </w:rPr>
                    <w:t># Registrants</w:t>
                  </w:r>
                </w:p>
              </w:tc>
              <w:tc>
                <w:tcPr>
                  <w:tcW w:w="5522" w:type="dxa"/>
                </w:tcPr>
                <w:p w:rsidR="00851193" w:rsidRPr="00CA5E90" w:rsidRDefault="00851193" w:rsidP="00851193">
                  <w:pPr>
                    <w:rPr>
                      <w:b/>
                      <w:sz w:val="20"/>
                      <w:szCs w:val="20"/>
                    </w:rPr>
                  </w:pPr>
                  <w:r w:rsidRPr="00CA5E90">
                    <w:rPr>
                      <w:b/>
                      <w:sz w:val="20"/>
                      <w:szCs w:val="20"/>
                    </w:rPr>
                    <w:t>Comments</w:t>
                  </w:r>
                </w:p>
              </w:tc>
            </w:tr>
            <w:tr w:rsidR="00851193" w:rsidTr="00851193">
              <w:tc>
                <w:tcPr>
                  <w:tcW w:w="2405" w:type="dxa"/>
                </w:tcPr>
                <w:p w:rsidR="00851193" w:rsidRDefault="00851193" w:rsidP="00851193">
                  <w:pPr>
                    <w:rPr>
                      <w:sz w:val="20"/>
                      <w:szCs w:val="20"/>
                    </w:rPr>
                  </w:pPr>
                  <w:r>
                    <w:rPr>
                      <w:sz w:val="20"/>
                      <w:szCs w:val="20"/>
                    </w:rPr>
                    <w:t>Credit</w:t>
                  </w:r>
                </w:p>
              </w:tc>
              <w:tc>
                <w:tcPr>
                  <w:tcW w:w="1418" w:type="dxa"/>
                </w:tcPr>
                <w:p w:rsidR="0055052D" w:rsidRPr="00CA027D" w:rsidRDefault="00CD24DF" w:rsidP="0055052D">
                  <w:pPr>
                    <w:jc w:val="center"/>
                    <w:rPr>
                      <w:sz w:val="20"/>
                      <w:szCs w:val="20"/>
                    </w:rPr>
                  </w:pPr>
                  <w:r>
                    <w:rPr>
                      <w:sz w:val="20"/>
                      <w:szCs w:val="20"/>
                    </w:rPr>
                    <w:t>1</w:t>
                  </w:r>
                  <w:r w:rsidR="001B7B29">
                    <w:rPr>
                      <w:sz w:val="20"/>
                      <w:szCs w:val="20"/>
                    </w:rPr>
                    <w:t>18</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Professional Development</w:t>
                  </w:r>
                </w:p>
              </w:tc>
              <w:tc>
                <w:tcPr>
                  <w:tcW w:w="1418" w:type="dxa"/>
                </w:tcPr>
                <w:p w:rsidR="00851193" w:rsidRPr="00CA027D" w:rsidRDefault="00CD24DF" w:rsidP="00D70BED">
                  <w:pPr>
                    <w:jc w:val="center"/>
                    <w:rPr>
                      <w:sz w:val="20"/>
                      <w:szCs w:val="20"/>
                    </w:rPr>
                  </w:pPr>
                  <w:r>
                    <w:rPr>
                      <w:sz w:val="20"/>
                      <w:szCs w:val="20"/>
                    </w:rPr>
                    <w:t>1</w:t>
                  </w:r>
                  <w:r w:rsidR="001B7B29">
                    <w:rPr>
                      <w:sz w:val="20"/>
                      <w:szCs w:val="20"/>
                    </w:rPr>
                    <w:t>28</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General Interest</w:t>
                  </w:r>
                </w:p>
              </w:tc>
              <w:tc>
                <w:tcPr>
                  <w:tcW w:w="1418" w:type="dxa"/>
                </w:tcPr>
                <w:p w:rsidR="00851193" w:rsidRPr="00CA027D" w:rsidRDefault="0055052D" w:rsidP="008E0DE5">
                  <w:pPr>
                    <w:jc w:val="center"/>
                    <w:rPr>
                      <w:sz w:val="20"/>
                      <w:szCs w:val="20"/>
                    </w:rPr>
                  </w:pPr>
                  <w:r w:rsidRPr="00CA027D">
                    <w:rPr>
                      <w:sz w:val="20"/>
                      <w:szCs w:val="20"/>
                    </w:rPr>
                    <w:t>1</w:t>
                  </w:r>
                  <w:r w:rsidR="001B7B29">
                    <w:rPr>
                      <w:sz w:val="20"/>
                      <w:szCs w:val="20"/>
                    </w:rPr>
                    <w:t>77</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Dual Credit</w:t>
                  </w:r>
                </w:p>
              </w:tc>
              <w:tc>
                <w:tcPr>
                  <w:tcW w:w="1418" w:type="dxa"/>
                </w:tcPr>
                <w:p w:rsidR="00851193" w:rsidRPr="00CA027D" w:rsidRDefault="001B7B29" w:rsidP="00D70BED">
                  <w:pPr>
                    <w:jc w:val="center"/>
                    <w:rPr>
                      <w:sz w:val="20"/>
                      <w:szCs w:val="20"/>
                    </w:rPr>
                  </w:pPr>
                  <w:r>
                    <w:rPr>
                      <w:sz w:val="20"/>
                      <w:szCs w:val="20"/>
                    </w:rPr>
                    <w:t>295</w:t>
                  </w:r>
                </w:p>
              </w:tc>
              <w:tc>
                <w:tcPr>
                  <w:tcW w:w="5522" w:type="dxa"/>
                </w:tcPr>
                <w:p w:rsidR="00851193" w:rsidRDefault="00F03043" w:rsidP="00851193">
                  <w:pPr>
                    <w:rPr>
                      <w:sz w:val="20"/>
                      <w:szCs w:val="20"/>
                    </w:rPr>
                  </w:pPr>
                  <w:r>
                    <w:rPr>
                      <w:sz w:val="20"/>
                      <w:szCs w:val="20"/>
                    </w:rPr>
                    <w:t>(all credit courses)</w:t>
                  </w:r>
                </w:p>
              </w:tc>
            </w:tr>
            <w:tr w:rsidR="00851193" w:rsidTr="00851193">
              <w:tc>
                <w:tcPr>
                  <w:tcW w:w="9345" w:type="dxa"/>
                  <w:gridSpan w:val="3"/>
                </w:tcPr>
                <w:p w:rsidR="00851193" w:rsidRPr="00CA027D" w:rsidRDefault="00851193" w:rsidP="00851193">
                  <w:pPr>
                    <w:jc w:val="center"/>
                    <w:rPr>
                      <w:b/>
                      <w:sz w:val="20"/>
                      <w:szCs w:val="20"/>
                    </w:rPr>
                  </w:pPr>
                  <w:r w:rsidRPr="00CA027D">
                    <w:rPr>
                      <w:b/>
                      <w:sz w:val="20"/>
                      <w:szCs w:val="20"/>
                    </w:rPr>
                    <w:t>E-Learning</w:t>
                  </w:r>
                </w:p>
              </w:tc>
            </w:tr>
            <w:tr w:rsidR="00851193" w:rsidTr="00851193">
              <w:tc>
                <w:tcPr>
                  <w:tcW w:w="2405" w:type="dxa"/>
                </w:tcPr>
                <w:p w:rsidR="00851193" w:rsidRDefault="00851193" w:rsidP="00851193">
                  <w:pPr>
                    <w:rPr>
                      <w:sz w:val="20"/>
                      <w:szCs w:val="20"/>
                    </w:rPr>
                  </w:pPr>
                  <w:r>
                    <w:rPr>
                      <w:sz w:val="20"/>
                      <w:szCs w:val="20"/>
                    </w:rPr>
                    <w:t>Ontario Learn</w:t>
                  </w:r>
                </w:p>
              </w:tc>
              <w:tc>
                <w:tcPr>
                  <w:tcW w:w="1418" w:type="dxa"/>
                </w:tcPr>
                <w:p w:rsidR="00851193" w:rsidRPr="00CA027D" w:rsidRDefault="001B7B29" w:rsidP="008E0DE5">
                  <w:pPr>
                    <w:jc w:val="center"/>
                    <w:rPr>
                      <w:sz w:val="20"/>
                      <w:szCs w:val="20"/>
                    </w:rPr>
                  </w:pPr>
                  <w:r>
                    <w:rPr>
                      <w:sz w:val="20"/>
                      <w:szCs w:val="20"/>
                    </w:rPr>
                    <w:t>240</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ACE Online</w:t>
                  </w:r>
                </w:p>
              </w:tc>
              <w:tc>
                <w:tcPr>
                  <w:tcW w:w="1418" w:type="dxa"/>
                </w:tcPr>
                <w:p w:rsidR="00851193" w:rsidRPr="00CA027D" w:rsidRDefault="0055052D" w:rsidP="00851193">
                  <w:pPr>
                    <w:jc w:val="center"/>
                    <w:rPr>
                      <w:sz w:val="20"/>
                      <w:szCs w:val="20"/>
                    </w:rPr>
                  </w:pPr>
                  <w:r w:rsidRPr="00CA027D">
                    <w:rPr>
                      <w:sz w:val="20"/>
                      <w:szCs w:val="20"/>
                    </w:rPr>
                    <w:t>1</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proofErr w:type="spellStart"/>
                  <w:r>
                    <w:rPr>
                      <w:sz w:val="20"/>
                      <w:szCs w:val="20"/>
                    </w:rPr>
                    <w:t>TPC</w:t>
                  </w:r>
                  <w:proofErr w:type="spellEnd"/>
                </w:p>
              </w:tc>
              <w:tc>
                <w:tcPr>
                  <w:tcW w:w="1418" w:type="dxa"/>
                </w:tcPr>
                <w:p w:rsidR="00851193" w:rsidRPr="00CA027D" w:rsidRDefault="00CD24DF" w:rsidP="00851193">
                  <w:pPr>
                    <w:jc w:val="center"/>
                    <w:rPr>
                      <w:sz w:val="20"/>
                      <w:szCs w:val="20"/>
                    </w:rPr>
                  </w:pPr>
                  <w:r>
                    <w:rPr>
                      <w:sz w:val="20"/>
                      <w:szCs w:val="20"/>
                    </w:rPr>
                    <w:t>42</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Independent Study</w:t>
                  </w:r>
                </w:p>
              </w:tc>
              <w:tc>
                <w:tcPr>
                  <w:tcW w:w="1418" w:type="dxa"/>
                </w:tcPr>
                <w:p w:rsidR="00851193" w:rsidRPr="00CA027D" w:rsidRDefault="001B7B29" w:rsidP="00851193">
                  <w:pPr>
                    <w:jc w:val="center"/>
                    <w:rPr>
                      <w:sz w:val="20"/>
                      <w:szCs w:val="20"/>
                    </w:rPr>
                  </w:pPr>
                  <w:r>
                    <w:rPr>
                      <w:sz w:val="20"/>
                      <w:szCs w:val="20"/>
                    </w:rPr>
                    <w:t>7</w:t>
                  </w:r>
                </w:p>
              </w:tc>
              <w:tc>
                <w:tcPr>
                  <w:tcW w:w="5522" w:type="dxa"/>
                </w:tcPr>
                <w:p w:rsidR="00851193" w:rsidRDefault="00851193" w:rsidP="00851193">
                  <w:pPr>
                    <w:rPr>
                      <w:sz w:val="20"/>
                      <w:szCs w:val="20"/>
                    </w:rPr>
                  </w:pPr>
                </w:p>
              </w:tc>
            </w:tr>
            <w:tr w:rsidR="00851193" w:rsidTr="00851193">
              <w:tc>
                <w:tcPr>
                  <w:tcW w:w="2405" w:type="dxa"/>
                </w:tcPr>
                <w:p w:rsidR="00851193" w:rsidRDefault="00851193" w:rsidP="00851193">
                  <w:pPr>
                    <w:rPr>
                      <w:sz w:val="20"/>
                      <w:szCs w:val="20"/>
                    </w:rPr>
                  </w:pPr>
                  <w:r>
                    <w:rPr>
                      <w:sz w:val="20"/>
                      <w:szCs w:val="20"/>
                    </w:rPr>
                    <w:t>Contact North</w:t>
                  </w:r>
                </w:p>
              </w:tc>
              <w:tc>
                <w:tcPr>
                  <w:tcW w:w="1418" w:type="dxa"/>
                </w:tcPr>
                <w:p w:rsidR="00851193" w:rsidRPr="00CA027D" w:rsidRDefault="001B7B29" w:rsidP="001B7B29">
                  <w:pPr>
                    <w:rPr>
                      <w:sz w:val="20"/>
                      <w:szCs w:val="20"/>
                    </w:rPr>
                  </w:pPr>
                  <w:r>
                    <w:rPr>
                      <w:sz w:val="20"/>
                      <w:szCs w:val="20"/>
                    </w:rPr>
                    <w:t xml:space="preserve">           </w:t>
                  </w:r>
                  <w:bookmarkStart w:id="0" w:name="_GoBack"/>
                  <w:bookmarkEnd w:id="0"/>
                  <w:r>
                    <w:rPr>
                      <w:sz w:val="20"/>
                      <w:szCs w:val="20"/>
                    </w:rPr>
                    <w:t>85</w:t>
                  </w:r>
                </w:p>
              </w:tc>
              <w:tc>
                <w:tcPr>
                  <w:tcW w:w="5522" w:type="dxa"/>
                </w:tcPr>
                <w:p w:rsidR="00851193" w:rsidRDefault="00851193" w:rsidP="00851193">
                  <w:pPr>
                    <w:rPr>
                      <w:sz w:val="20"/>
                      <w:szCs w:val="20"/>
                    </w:rPr>
                  </w:pPr>
                  <w:r>
                    <w:rPr>
                      <w:sz w:val="20"/>
                      <w:szCs w:val="20"/>
                    </w:rPr>
                    <w:t>Included in the credit section as everything currently running with Contact North are credit courses</w:t>
                  </w:r>
                  <w:r w:rsidR="00F03043">
                    <w:rPr>
                      <w:sz w:val="20"/>
                      <w:szCs w:val="20"/>
                    </w:rPr>
                    <w:t xml:space="preserve"> some of which are also dual credits</w:t>
                  </w:r>
                </w:p>
              </w:tc>
            </w:tr>
          </w:tbl>
          <w:p w:rsidR="00851193" w:rsidRDefault="00851193" w:rsidP="003A1515">
            <w:pPr>
              <w:rPr>
                <w:color w:val="000000"/>
                <w:sz w:val="20"/>
                <w:szCs w:val="20"/>
                <w:highlight w:val="yellow"/>
              </w:rPr>
            </w:pPr>
          </w:p>
          <w:p w:rsidR="00AD5188" w:rsidRDefault="00AD5188" w:rsidP="003A1515">
            <w:pPr>
              <w:pStyle w:val="Default"/>
              <w:rPr>
                <w:rFonts w:ascii="Calibri" w:hAnsi="Calibri" w:cs="Calibri"/>
                <w:b/>
              </w:rPr>
            </w:pPr>
          </w:p>
          <w:p w:rsidR="003A1515" w:rsidRPr="009B293F" w:rsidRDefault="00687F54" w:rsidP="003A1515">
            <w:pPr>
              <w:pStyle w:val="Default"/>
              <w:rPr>
                <w:rFonts w:ascii="Calibri" w:hAnsi="Calibri" w:cs="Calibri"/>
                <w:b/>
              </w:rPr>
            </w:pPr>
            <w:r>
              <w:rPr>
                <w:rFonts w:ascii="Calibri" w:hAnsi="Calibri" w:cs="Calibri"/>
                <w:b/>
              </w:rPr>
              <w:t>O</w:t>
            </w:r>
            <w:r w:rsidR="003A1515" w:rsidRPr="009B293F">
              <w:rPr>
                <w:rFonts w:ascii="Calibri" w:hAnsi="Calibri" w:cs="Calibri"/>
                <w:b/>
              </w:rPr>
              <w:t>ntario Learn:</w:t>
            </w:r>
          </w:p>
          <w:p w:rsidR="007C7E7E" w:rsidRDefault="007C7E7E" w:rsidP="003A1515">
            <w:pPr>
              <w:pStyle w:val="Default"/>
              <w:rPr>
                <w:rFonts w:ascii="Calibri" w:hAnsi="Calibri" w:cs="Calibri"/>
                <w:b/>
                <w:sz w:val="20"/>
                <w:szCs w:val="20"/>
              </w:rPr>
            </w:pPr>
          </w:p>
          <w:p w:rsidR="007C7E7E" w:rsidRPr="00CA5E90" w:rsidRDefault="007C7E7E" w:rsidP="003A1515">
            <w:pPr>
              <w:pStyle w:val="Default"/>
              <w:rPr>
                <w:rFonts w:ascii="Calibri" w:hAnsi="Calibri" w:cs="Calibri"/>
                <w:b/>
                <w:sz w:val="20"/>
                <w:szCs w:val="20"/>
              </w:rPr>
            </w:pPr>
            <w:r>
              <w:rPr>
                <w:rFonts w:ascii="Calibri" w:hAnsi="Calibri" w:cs="Calibri"/>
                <w:b/>
                <w:sz w:val="20"/>
                <w:szCs w:val="20"/>
              </w:rPr>
              <w:t xml:space="preserve">These numbers are for students that have begun courses this semester, not necessarily enrolled for upcoming courses. Upcoming enrolment is noted above. </w:t>
            </w:r>
          </w:p>
          <w:tbl>
            <w:tblPr>
              <w:tblW w:w="0" w:type="auto"/>
              <w:tblCellMar>
                <w:left w:w="0" w:type="dxa"/>
                <w:right w:w="0" w:type="dxa"/>
              </w:tblCellMar>
              <w:tblLook w:val="04A0" w:firstRow="1" w:lastRow="0" w:firstColumn="1" w:lastColumn="0" w:noHBand="0" w:noVBand="1"/>
            </w:tblPr>
            <w:tblGrid>
              <w:gridCol w:w="2825"/>
              <w:gridCol w:w="851"/>
              <w:gridCol w:w="2835"/>
              <w:gridCol w:w="709"/>
              <w:gridCol w:w="2120"/>
            </w:tblGrid>
            <w:tr w:rsidR="001261FE"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61FE" w:rsidRPr="00CA5E90" w:rsidRDefault="001261FE" w:rsidP="00642950">
                  <w:pPr>
                    <w:pStyle w:val="Default"/>
                    <w:jc w:val="center"/>
                    <w:rPr>
                      <w:rFonts w:ascii="Calibri" w:hAnsi="Calibri" w:cs="Calibri"/>
                      <w:b/>
                      <w:sz w:val="20"/>
                      <w:szCs w:val="20"/>
                    </w:rPr>
                  </w:pPr>
                </w:p>
              </w:tc>
              <w:tc>
                <w:tcPr>
                  <w:tcW w:w="851" w:type="dxa"/>
                  <w:tcBorders>
                    <w:top w:val="single" w:sz="8" w:space="0" w:color="000000"/>
                    <w:left w:val="nil"/>
                    <w:bottom w:val="single" w:sz="8" w:space="0" w:color="000000"/>
                    <w:right w:val="single" w:sz="4" w:space="0" w:color="auto"/>
                  </w:tcBorders>
                </w:tcPr>
                <w:p w:rsidR="001261FE" w:rsidRPr="00CA5E90" w:rsidRDefault="001261FE" w:rsidP="00422A27">
                  <w:pPr>
                    <w:pStyle w:val="Default"/>
                    <w:jc w:val="center"/>
                    <w:rPr>
                      <w:rFonts w:ascii="Calibri" w:hAnsi="Calibri" w:cs="Calibri"/>
                      <w:b/>
                      <w:sz w:val="20"/>
                      <w:szCs w:val="20"/>
                    </w:rPr>
                  </w:pPr>
                  <w:r w:rsidRPr="00CA5E90">
                    <w:rPr>
                      <w:rFonts w:ascii="Calibri" w:hAnsi="Calibri" w:cs="Calibri"/>
                      <w:b/>
                      <w:sz w:val="20"/>
                      <w:szCs w:val="20"/>
                    </w:rPr>
                    <w:t xml:space="preserve"># </w:t>
                  </w:r>
                  <w:proofErr w:type="spellStart"/>
                  <w:r w:rsidRPr="00CA5E90">
                    <w:rPr>
                      <w:rFonts w:ascii="Calibri" w:hAnsi="Calibri" w:cs="Calibri"/>
                      <w:b/>
                      <w:sz w:val="20"/>
                      <w:szCs w:val="20"/>
                    </w:rPr>
                    <w:t>Reg</w:t>
                  </w:r>
                  <w:proofErr w:type="spellEnd"/>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261FE" w:rsidRPr="00CA5E90" w:rsidRDefault="001261FE" w:rsidP="00642950">
                  <w:pPr>
                    <w:pStyle w:val="Default"/>
                    <w:jc w:val="center"/>
                    <w:rPr>
                      <w:rFonts w:ascii="Calibri" w:hAnsi="Calibri" w:cs="Calibri"/>
                      <w:b/>
                      <w:sz w:val="20"/>
                      <w:szCs w:val="20"/>
                    </w:rPr>
                  </w:pPr>
                </w:p>
              </w:tc>
              <w:tc>
                <w:tcPr>
                  <w:tcW w:w="709" w:type="dxa"/>
                  <w:tcBorders>
                    <w:top w:val="single" w:sz="8" w:space="0" w:color="000000"/>
                    <w:left w:val="nil"/>
                    <w:bottom w:val="single" w:sz="8" w:space="0" w:color="000000"/>
                    <w:right w:val="single" w:sz="4" w:space="0" w:color="auto"/>
                  </w:tcBorders>
                </w:tcPr>
                <w:p w:rsidR="001261FE" w:rsidRPr="00CA5E90" w:rsidRDefault="001261FE" w:rsidP="00422A27">
                  <w:pPr>
                    <w:pStyle w:val="Default"/>
                    <w:jc w:val="center"/>
                    <w:rPr>
                      <w:rFonts w:ascii="Calibri" w:hAnsi="Calibri" w:cs="Calibri"/>
                      <w:b/>
                      <w:sz w:val="20"/>
                      <w:szCs w:val="20"/>
                    </w:rPr>
                  </w:pPr>
                  <w:r w:rsidRPr="00CA5E90">
                    <w:rPr>
                      <w:rFonts w:ascii="Calibri" w:hAnsi="Calibri" w:cs="Calibri"/>
                      <w:b/>
                      <w:sz w:val="20"/>
                      <w:szCs w:val="20"/>
                    </w:rPr>
                    <w:t># Reg.</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261FE" w:rsidRPr="00CA5E90" w:rsidRDefault="001261FE" w:rsidP="00422A27">
                  <w:pPr>
                    <w:pStyle w:val="Default"/>
                    <w:jc w:val="center"/>
                    <w:rPr>
                      <w:rFonts w:ascii="Calibri" w:hAnsi="Calibri" w:cs="Calibri"/>
                      <w:b/>
                      <w:sz w:val="20"/>
                      <w:szCs w:val="20"/>
                    </w:rPr>
                  </w:pPr>
                  <w:r w:rsidRPr="00CA5E90">
                    <w:rPr>
                      <w:rFonts w:ascii="Calibri" w:hAnsi="Calibri" w:cs="Calibri"/>
                      <w:b/>
                      <w:sz w:val="20"/>
                      <w:szCs w:val="20"/>
                    </w:rPr>
                    <w:t>% +/-</w:t>
                  </w:r>
                </w:p>
              </w:tc>
            </w:tr>
            <w:tr w:rsidR="001261FE"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61FE" w:rsidRPr="001261FE" w:rsidRDefault="00DA29CB" w:rsidP="005B7A7C">
                  <w:pPr>
                    <w:pStyle w:val="Default"/>
                    <w:jc w:val="center"/>
                    <w:rPr>
                      <w:rFonts w:ascii="Calibri" w:hAnsi="Calibri" w:cs="Calibri"/>
                      <w:b/>
                      <w:sz w:val="20"/>
                      <w:szCs w:val="20"/>
                    </w:rPr>
                  </w:pPr>
                  <w:r>
                    <w:rPr>
                      <w:rFonts w:ascii="Calibri" w:hAnsi="Calibri" w:cs="Calibri"/>
                      <w:b/>
                      <w:sz w:val="20"/>
                      <w:szCs w:val="20"/>
                    </w:rPr>
                    <w:t>Winter 2015</w:t>
                  </w:r>
                </w:p>
              </w:tc>
              <w:tc>
                <w:tcPr>
                  <w:tcW w:w="851" w:type="dxa"/>
                  <w:tcBorders>
                    <w:top w:val="single" w:sz="8" w:space="0" w:color="000000"/>
                    <w:left w:val="nil"/>
                    <w:bottom w:val="single" w:sz="8" w:space="0" w:color="000000"/>
                    <w:right w:val="single" w:sz="4" w:space="0" w:color="auto"/>
                  </w:tcBorders>
                </w:tcPr>
                <w:p w:rsidR="001261FE" w:rsidRDefault="001261FE" w:rsidP="003B4788">
                  <w:pPr>
                    <w:pStyle w:val="Default"/>
                    <w:jc w:val="center"/>
                    <w:rPr>
                      <w:rFonts w:ascii="Calibri" w:hAnsi="Calibri" w:cs="Calibri"/>
                      <w:sz w:val="20"/>
                      <w:szCs w:val="20"/>
                    </w:rPr>
                  </w:pP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1261FE" w:rsidRPr="005B7A7C" w:rsidRDefault="00DA29CB" w:rsidP="005B7A7C">
                  <w:pPr>
                    <w:pStyle w:val="Default"/>
                    <w:jc w:val="center"/>
                    <w:rPr>
                      <w:rFonts w:ascii="Calibri" w:hAnsi="Calibri" w:cs="Calibri"/>
                      <w:b/>
                      <w:sz w:val="20"/>
                      <w:szCs w:val="20"/>
                    </w:rPr>
                  </w:pPr>
                  <w:r>
                    <w:rPr>
                      <w:rFonts w:ascii="Calibri" w:hAnsi="Calibri" w:cs="Calibri"/>
                      <w:b/>
                      <w:sz w:val="20"/>
                      <w:szCs w:val="20"/>
                    </w:rPr>
                    <w:t>Winter 2016</w:t>
                  </w:r>
                </w:p>
              </w:tc>
              <w:tc>
                <w:tcPr>
                  <w:tcW w:w="709" w:type="dxa"/>
                  <w:tcBorders>
                    <w:top w:val="single" w:sz="8" w:space="0" w:color="000000"/>
                    <w:left w:val="nil"/>
                    <w:bottom w:val="single" w:sz="8" w:space="0" w:color="000000"/>
                    <w:right w:val="single" w:sz="4" w:space="0" w:color="auto"/>
                  </w:tcBorders>
                </w:tcPr>
                <w:p w:rsidR="001261FE" w:rsidRDefault="001261FE" w:rsidP="00A46773">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1261FE" w:rsidRPr="00BE40A2" w:rsidRDefault="001261FE" w:rsidP="00A46773">
                  <w:pPr>
                    <w:pStyle w:val="Default"/>
                    <w:jc w:val="center"/>
                    <w:rPr>
                      <w:rFonts w:ascii="Calibri" w:hAnsi="Calibri" w:cs="Calibri"/>
                      <w:sz w:val="20"/>
                      <w:szCs w:val="20"/>
                    </w:rPr>
                  </w:pPr>
                </w:p>
              </w:tc>
            </w:tr>
            <w:tr w:rsidR="00DA29CB"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9CB" w:rsidRDefault="00DA29CB" w:rsidP="00DA29CB">
                  <w:pPr>
                    <w:pStyle w:val="Default"/>
                    <w:rPr>
                      <w:rFonts w:ascii="Calibri" w:hAnsi="Calibri" w:cs="Calibri"/>
                      <w:sz w:val="20"/>
                      <w:szCs w:val="20"/>
                    </w:rPr>
                  </w:pPr>
                  <w:r>
                    <w:rPr>
                      <w:rFonts w:ascii="Calibri" w:hAnsi="Calibri" w:cs="Calibri"/>
                      <w:sz w:val="20"/>
                      <w:szCs w:val="20"/>
                    </w:rPr>
                    <w:t xml:space="preserve">January </w:t>
                  </w:r>
                  <w:proofErr w:type="spellStart"/>
                  <w:r>
                    <w:rPr>
                      <w:rFonts w:ascii="Calibri" w:hAnsi="Calibri" w:cs="Calibri"/>
                      <w:sz w:val="20"/>
                      <w:szCs w:val="20"/>
                    </w:rPr>
                    <w:t>SEM</w:t>
                  </w:r>
                  <w:proofErr w:type="spellEnd"/>
                  <w:r>
                    <w:rPr>
                      <w:rFonts w:ascii="Calibri" w:hAnsi="Calibri" w:cs="Calibri"/>
                      <w:sz w:val="20"/>
                      <w:szCs w:val="20"/>
                    </w:rPr>
                    <w:t xml:space="preserve"> intake</w:t>
                  </w:r>
                </w:p>
              </w:tc>
              <w:tc>
                <w:tcPr>
                  <w:tcW w:w="851" w:type="dxa"/>
                  <w:tcBorders>
                    <w:top w:val="single" w:sz="8" w:space="0" w:color="000000"/>
                    <w:left w:val="nil"/>
                    <w:bottom w:val="single" w:sz="8" w:space="0" w:color="000000"/>
                    <w:right w:val="single" w:sz="4" w:space="0" w:color="auto"/>
                  </w:tcBorders>
                </w:tcPr>
                <w:p w:rsidR="00DA29CB" w:rsidRDefault="00DA29CB" w:rsidP="001C4A28">
                  <w:pPr>
                    <w:pStyle w:val="Default"/>
                    <w:jc w:val="center"/>
                    <w:rPr>
                      <w:rFonts w:ascii="Calibri" w:hAnsi="Calibri" w:cs="Calibri"/>
                      <w:sz w:val="20"/>
                      <w:szCs w:val="20"/>
                    </w:rPr>
                  </w:pPr>
                  <w:r>
                    <w:rPr>
                      <w:rFonts w:ascii="Calibri" w:hAnsi="Calibri" w:cs="Calibri"/>
                      <w:sz w:val="20"/>
                      <w:szCs w:val="20"/>
                    </w:rPr>
                    <w:t>197</w:t>
                  </w: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Default="00DA29CB" w:rsidP="00AD5188">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DA29CB" w:rsidRDefault="000E6B32" w:rsidP="0055052D">
                  <w:pPr>
                    <w:pStyle w:val="Default"/>
                    <w:jc w:val="center"/>
                    <w:rPr>
                      <w:rFonts w:ascii="Calibri" w:hAnsi="Calibri" w:cs="Calibri"/>
                      <w:sz w:val="20"/>
                      <w:szCs w:val="20"/>
                    </w:rPr>
                  </w:pPr>
                  <w:r>
                    <w:rPr>
                      <w:rFonts w:ascii="Calibri" w:hAnsi="Calibri" w:cs="Calibri"/>
                      <w:sz w:val="20"/>
                      <w:szCs w:val="20"/>
                    </w:rPr>
                    <w:t>2</w:t>
                  </w:r>
                  <w:r w:rsidR="0055052D">
                    <w:rPr>
                      <w:rFonts w:ascii="Calibri" w:hAnsi="Calibri" w:cs="Calibri"/>
                      <w:sz w:val="20"/>
                      <w:szCs w:val="20"/>
                    </w:rPr>
                    <w:t>72</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Pr="00BE40A2" w:rsidRDefault="00892EC6" w:rsidP="0055052D">
                  <w:pPr>
                    <w:pStyle w:val="Default"/>
                    <w:jc w:val="center"/>
                    <w:rPr>
                      <w:rFonts w:ascii="Calibri" w:hAnsi="Calibri" w:cs="Calibri"/>
                      <w:sz w:val="20"/>
                      <w:szCs w:val="20"/>
                    </w:rPr>
                  </w:pPr>
                  <w:r>
                    <w:rPr>
                      <w:rFonts w:ascii="Calibri" w:hAnsi="Calibri" w:cs="Calibri"/>
                      <w:sz w:val="20"/>
                      <w:szCs w:val="20"/>
                    </w:rPr>
                    <w:t>+3</w:t>
                  </w:r>
                  <w:r w:rsidR="0055052D">
                    <w:rPr>
                      <w:rFonts w:ascii="Calibri" w:hAnsi="Calibri" w:cs="Calibri"/>
                      <w:sz w:val="20"/>
                      <w:szCs w:val="20"/>
                    </w:rPr>
                    <w:t>8</w:t>
                  </w:r>
                  <w:r>
                    <w:rPr>
                      <w:rFonts w:ascii="Calibri" w:hAnsi="Calibri" w:cs="Calibri"/>
                      <w:sz w:val="20"/>
                      <w:szCs w:val="20"/>
                    </w:rPr>
                    <w:t>%</w:t>
                  </w:r>
                </w:p>
              </w:tc>
            </w:tr>
            <w:tr w:rsidR="00DA29CB"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9CB" w:rsidRDefault="00DA29CB" w:rsidP="00257837">
                  <w:pPr>
                    <w:pStyle w:val="Default"/>
                    <w:rPr>
                      <w:rFonts w:ascii="Calibri" w:hAnsi="Calibri" w:cs="Calibri"/>
                      <w:sz w:val="20"/>
                      <w:szCs w:val="20"/>
                    </w:rPr>
                  </w:pPr>
                  <w:r>
                    <w:rPr>
                      <w:rFonts w:ascii="Calibri" w:hAnsi="Calibri" w:cs="Calibri"/>
                      <w:sz w:val="20"/>
                      <w:szCs w:val="20"/>
                    </w:rPr>
                    <w:t>February MI intake</w:t>
                  </w:r>
                </w:p>
              </w:tc>
              <w:tc>
                <w:tcPr>
                  <w:tcW w:w="851" w:type="dxa"/>
                  <w:tcBorders>
                    <w:top w:val="single" w:sz="8" w:space="0" w:color="000000"/>
                    <w:left w:val="nil"/>
                    <w:bottom w:val="single" w:sz="8" w:space="0" w:color="000000"/>
                    <w:right w:val="single" w:sz="4" w:space="0" w:color="auto"/>
                  </w:tcBorders>
                </w:tcPr>
                <w:p w:rsidR="00DA29CB" w:rsidRPr="00BE40A2" w:rsidRDefault="00DA29CB" w:rsidP="001C4A28">
                  <w:pPr>
                    <w:pStyle w:val="Default"/>
                    <w:jc w:val="center"/>
                    <w:rPr>
                      <w:rFonts w:ascii="Calibri" w:hAnsi="Calibri" w:cs="Calibri"/>
                      <w:sz w:val="20"/>
                      <w:szCs w:val="20"/>
                    </w:rPr>
                  </w:pPr>
                  <w:r>
                    <w:rPr>
                      <w:rFonts w:ascii="Calibri" w:hAnsi="Calibri" w:cs="Calibri"/>
                      <w:sz w:val="20"/>
                      <w:szCs w:val="20"/>
                    </w:rPr>
                    <w:t>10</w:t>
                  </w: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Default="00DA29CB" w:rsidP="001B2E60">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0E6B32" w:rsidRDefault="0055052D" w:rsidP="000E6B32">
                  <w:pPr>
                    <w:pStyle w:val="Default"/>
                    <w:jc w:val="center"/>
                    <w:rPr>
                      <w:rFonts w:ascii="Calibri" w:hAnsi="Calibri" w:cs="Calibri"/>
                      <w:sz w:val="20"/>
                      <w:szCs w:val="20"/>
                    </w:rPr>
                  </w:pPr>
                  <w:r>
                    <w:rPr>
                      <w:rFonts w:ascii="Calibri" w:hAnsi="Calibri" w:cs="Calibri"/>
                      <w:sz w:val="20"/>
                      <w:szCs w:val="20"/>
                    </w:rPr>
                    <w:t>31</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DA29CB" w:rsidRPr="00BE40A2" w:rsidRDefault="00892EC6" w:rsidP="00E07914">
                  <w:pPr>
                    <w:pStyle w:val="Default"/>
                    <w:jc w:val="center"/>
                    <w:rPr>
                      <w:rFonts w:ascii="Calibri" w:hAnsi="Calibri" w:cs="Calibri"/>
                      <w:sz w:val="20"/>
                      <w:szCs w:val="20"/>
                    </w:rPr>
                  </w:pPr>
                  <w:r>
                    <w:rPr>
                      <w:rFonts w:ascii="Calibri" w:hAnsi="Calibri" w:cs="Calibri"/>
                      <w:sz w:val="20"/>
                      <w:szCs w:val="20"/>
                    </w:rPr>
                    <w:t>+</w:t>
                  </w:r>
                  <w:r w:rsidR="00E07914">
                    <w:rPr>
                      <w:rFonts w:ascii="Calibri" w:hAnsi="Calibri" w:cs="Calibri"/>
                      <w:sz w:val="20"/>
                      <w:szCs w:val="20"/>
                    </w:rPr>
                    <w:t>210</w:t>
                  </w:r>
                  <w:r>
                    <w:rPr>
                      <w:rFonts w:ascii="Calibri" w:hAnsi="Calibri" w:cs="Calibri"/>
                      <w:sz w:val="20"/>
                      <w:szCs w:val="20"/>
                    </w:rPr>
                    <w:t>%</w:t>
                  </w:r>
                </w:p>
              </w:tc>
            </w:tr>
            <w:tr w:rsidR="00AD5188"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5188" w:rsidRDefault="00DA29CB" w:rsidP="00257837">
                  <w:pPr>
                    <w:pStyle w:val="Default"/>
                    <w:rPr>
                      <w:rFonts w:ascii="Calibri" w:hAnsi="Calibri" w:cs="Calibri"/>
                      <w:sz w:val="20"/>
                      <w:szCs w:val="20"/>
                    </w:rPr>
                  </w:pPr>
                  <w:r>
                    <w:rPr>
                      <w:rFonts w:ascii="Calibri" w:hAnsi="Calibri" w:cs="Calibri"/>
                      <w:sz w:val="20"/>
                      <w:szCs w:val="20"/>
                    </w:rPr>
                    <w:t>March</w:t>
                  </w:r>
                  <w:r w:rsidR="00AD5188">
                    <w:rPr>
                      <w:rFonts w:ascii="Calibri" w:hAnsi="Calibri" w:cs="Calibri"/>
                      <w:sz w:val="20"/>
                      <w:szCs w:val="20"/>
                    </w:rPr>
                    <w:t xml:space="preserve"> MI intake</w:t>
                  </w:r>
                </w:p>
              </w:tc>
              <w:tc>
                <w:tcPr>
                  <w:tcW w:w="851" w:type="dxa"/>
                  <w:tcBorders>
                    <w:top w:val="single" w:sz="8" w:space="0" w:color="000000"/>
                    <w:left w:val="nil"/>
                    <w:bottom w:val="single" w:sz="8" w:space="0" w:color="000000"/>
                    <w:right w:val="single" w:sz="4" w:space="0" w:color="auto"/>
                  </w:tcBorders>
                </w:tcPr>
                <w:p w:rsidR="00AD5188" w:rsidRDefault="00AD5188" w:rsidP="003B4788">
                  <w:pPr>
                    <w:pStyle w:val="Default"/>
                    <w:jc w:val="center"/>
                    <w:rPr>
                      <w:rFonts w:ascii="Calibri" w:hAnsi="Calibri" w:cs="Calibri"/>
                      <w:sz w:val="20"/>
                      <w:szCs w:val="20"/>
                    </w:rPr>
                  </w:pP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Default="00AD5188" w:rsidP="00190A8C">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AD5188" w:rsidRDefault="00AD5188" w:rsidP="00A46773">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Pr="00BE40A2" w:rsidRDefault="00AD5188" w:rsidP="00A46773">
                  <w:pPr>
                    <w:pStyle w:val="Default"/>
                    <w:jc w:val="center"/>
                    <w:rPr>
                      <w:rFonts w:ascii="Calibri" w:hAnsi="Calibri" w:cs="Calibri"/>
                      <w:sz w:val="20"/>
                      <w:szCs w:val="20"/>
                    </w:rPr>
                  </w:pPr>
                </w:p>
              </w:tc>
            </w:tr>
            <w:tr w:rsidR="00AD5188" w:rsidRPr="00210F9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D5188" w:rsidRDefault="00DA29CB" w:rsidP="00257837">
                  <w:pPr>
                    <w:pStyle w:val="Default"/>
                    <w:rPr>
                      <w:rFonts w:ascii="Calibri" w:hAnsi="Calibri" w:cs="Calibri"/>
                      <w:sz w:val="20"/>
                      <w:szCs w:val="20"/>
                    </w:rPr>
                  </w:pPr>
                  <w:r>
                    <w:rPr>
                      <w:rFonts w:ascii="Calibri" w:hAnsi="Calibri" w:cs="Calibri"/>
                      <w:sz w:val="20"/>
                      <w:szCs w:val="20"/>
                    </w:rPr>
                    <w:t xml:space="preserve">April </w:t>
                  </w:r>
                  <w:r w:rsidR="00AD5188">
                    <w:rPr>
                      <w:rFonts w:ascii="Calibri" w:hAnsi="Calibri" w:cs="Calibri"/>
                      <w:sz w:val="20"/>
                      <w:szCs w:val="20"/>
                    </w:rPr>
                    <w:t>MI intake</w:t>
                  </w:r>
                </w:p>
              </w:tc>
              <w:tc>
                <w:tcPr>
                  <w:tcW w:w="851" w:type="dxa"/>
                  <w:tcBorders>
                    <w:top w:val="single" w:sz="8" w:space="0" w:color="000000"/>
                    <w:left w:val="nil"/>
                    <w:bottom w:val="single" w:sz="8" w:space="0" w:color="000000"/>
                    <w:right w:val="single" w:sz="4" w:space="0" w:color="auto"/>
                  </w:tcBorders>
                </w:tcPr>
                <w:p w:rsidR="00AD5188" w:rsidRDefault="00AD5188" w:rsidP="003B4788">
                  <w:pPr>
                    <w:pStyle w:val="Default"/>
                    <w:jc w:val="center"/>
                    <w:rPr>
                      <w:rFonts w:ascii="Calibri" w:hAnsi="Calibri" w:cs="Calibri"/>
                      <w:sz w:val="20"/>
                      <w:szCs w:val="20"/>
                    </w:rPr>
                  </w:pPr>
                </w:p>
              </w:tc>
              <w:tc>
                <w:tcPr>
                  <w:tcW w:w="283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Default="00AD5188" w:rsidP="004175E2">
                  <w:pPr>
                    <w:pStyle w:val="Default"/>
                    <w:rPr>
                      <w:rFonts w:ascii="Calibri" w:hAnsi="Calibri" w:cs="Calibri"/>
                      <w:sz w:val="20"/>
                      <w:szCs w:val="20"/>
                    </w:rPr>
                  </w:pPr>
                </w:p>
              </w:tc>
              <w:tc>
                <w:tcPr>
                  <w:tcW w:w="709" w:type="dxa"/>
                  <w:tcBorders>
                    <w:top w:val="single" w:sz="8" w:space="0" w:color="000000"/>
                    <w:left w:val="nil"/>
                    <w:bottom w:val="single" w:sz="8" w:space="0" w:color="000000"/>
                    <w:right w:val="single" w:sz="4" w:space="0" w:color="auto"/>
                  </w:tcBorders>
                </w:tcPr>
                <w:p w:rsidR="00AD5188" w:rsidRDefault="00AD5188" w:rsidP="00A46773">
                  <w:pPr>
                    <w:pStyle w:val="Default"/>
                    <w:jc w:val="center"/>
                    <w:rPr>
                      <w:rFonts w:ascii="Calibri" w:hAnsi="Calibri" w:cs="Calibri"/>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D5188" w:rsidRPr="00BE40A2" w:rsidRDefault="00AD5188" w:rsidP="00A46773">
                  <w:pPr>
                    <w:pStyle w:val="Default"/>
                    <w:jc w:val="center"/>
                    <w:rPr>
                      <w:rFonts w:ascii="Calibri" w:hAnsi="Calibri" w:cs="Calibri"/>
                      <w:sz w:val="20"/>
                      <w:szCs w:val="20"/>
                    </w:rPr>
                  </w:pPr>
                </w:p>
              </w:tc>
            </w:tr>
          </w:tbl>
          <w:p w:rsidR="009B293F" w:rsidRDefault="009B293F" w:rsidP="003A1515">
            <w:pPr>
              <w:rPr>
                <w:b/>
                <w:color w:val="000000"/>
              </w:rPr>
            </w:pPr>
          </w:p>
          <w:p w:rsidR="003A1515" w:rsidRDefault="003A1515" w:rsidP="003A1515">
            <w:pPr>
              <w:rPr>
                <w:b/>
                <w:color w:val="000000"/>
              </w:rPr>
            </w:pPr>
            <w:r w:rsidRPr="00CA5E90">
              <w:rPr>
                <w:b/>
                <w:color w:val="000000"/>
              </w:rPr>
              <w:t>ACE online</w:t>
            </w:r>
            <w:r w:rsidR="009B293F">
              <w:rPr>
                <w:b/>
                <w:color w:val="000000"/>
              </w:rPr>
              <w:t>:</w:t>
            </w:r>
            <w:r w:rsidRPr="00CA5E90">
              <w:rPr>
                <w:b/>
                <w:color w:val="000000"/>
              </w:rPr>
              <w:t xml:space="preserve"> </w:t>
            </w:r>
          </w:p>
          <w:p w:rsidR="009B293F" w:rsidRPr="00CA5E90" w:rsidRDefault="009B293F" w:rsidP="003A1515">
            <w:pPr>
              <w:rPr>
                <w:b/>
                <w:color w:val="000000"/>
                <w:sz w:val="22"/>
              </w:rPr>
            </w:pPr>
          </w:p>
          <w:tbl>
            <w:tblPr>
              <w:tblW w:w="0" w:type="auto"/>
              <w:tblCellMar>
                <w:left w:w="0" w:type="dxa"/>
                <w:right w:w="0" w:type="dxa"/>
              </w:tblCellMar>
              <w:tblLook w:val="04A0" w:firstRow="1" w:lastRow="0" w:firstColumn="1" w:lastColumn="0" w:noHBand="0" w:noVBand="1"/>
            </w:tblPr>
            <w:tblGrid>
              <w:gridCol w:w="2825"/>
              <w:gridCol w:w="535"/>
              <w:gridCol w:w="2867"/>
              <w:gridCol w:w="993"/>
              <w:gridCol w:w="2120"/>
            </w:tblGrid>
            <w:tr w:rsidR="00CA5E90"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A5E90" w:rsidRPr="00CA5E90" w:rsidRDefault="00CA5E90" w:rsidP="00D068EB">
                  <w:pPr>
                    <w:pStyle w:val="Default"/>
                    <w:jc w:val="center"/>
                    <w:rPr>
                      <w:rFonts w:ascii="Calibri" w:hAnsi="Calibri" w:cs="Calibri"/>
                      <w:b/>
                      <w:sz w:val="20"/>
                      <w:szCs w:val="20"/>
                    </w:rPr>
                  </w:pPr>
                </w:p>
              </w:tc>
              <w:tc>
                <w:tcPr>
                  <w:tcW w:w="535" w:type="dxa"/>
                  <w:tcBorders>
                    <w:top w:val="single" w:sz="8" w:space="0" w:color="000000"/>
                    <w:left w:val="nil"/>
                    <w:bottom w:val="single" w:sz="8" w:space="0" w:color="000000"/>
                    <w:right w:val="single" w:sz="4" w:space="0" w:color="auto"/>
                  </w:tcBorders>
                </w:tcPr>
                <w:p w:rsidR="00CA5E90" w:rsidRPr="00CA5E90" w:rsidRDefault="00CA5E90" w:rsidP="003B4788">
                  <w:pPr>
                    <w:pStyle w:val="Default"/>
                    <w:jc w:val="center"/>
                    <w:rPr>
                      <w:rFonts w:ascii="Calibri" w:hAnsi="Calibri" w:cs="Calibri"/>
                      <w:b/>
                      <w:sz w:val="20"/>
                      <w:szCs w:val="20"/>
                    </w:rPr>
                  </w:pPr>
                  <w:r w:rsidRPr="00CA5E90">
                    <w:rPr>
                      <w:rFonts w:ascii="Calibri" w:hAnsi="Calibri" w:cs="Calibri"/>
                      <w:b/>
                      <w:sz w:val="20"/>
                      <w:szCs w:val="20"/>
                    </w:rPr>
                    <w:t xml:space="preserve"># </w:t>
                  </w:r>
                  <w:proofErr w:type="spellStart"/>
                  <w:r w:rsidRPr="00CA5E90">
                    <w:rPr>
                      <w:rFonts w:ascii="Calibri" w:hAnsi="Calibri" w:cs="Calibri"/>
                      <w:b/>
                      <w:sz w:val="20"/>
                      <w:szCs w:val="20"/>
                    </w:rPr>
                    <w:t>Reg</w:t>
                  </w:r>
                  <w:proofErr w:type="spellEnd"/>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CA5E90" w:rsidRPr="00CA5E90" w:rsidRDefault="00CA5E90" w:rsidP="00D068EB">
                  <w:pPr>
                    <w:pStyle w:val="Default"/>
                    <w:jc w:val="center"/>
                    <w:rPr>
                      <w:rFonts w:ascii="Calibri" w:hAnsi="Calibri" w:cs="Calibri"/>
                      <w:b/>
                      <w:sz w:val="20"/>
                      <w:szCs w:val="20"/>
                    </w:rPr>
                  </w:pPr>
                </w:p>
              </w:tc>
              <w:tc>
                <w:tcPr>
                  <w:tcW w:w="993" w:type="dxa"/>
                  <w:tcBorders>
                    <w:top w:val="single" w:sz="8" w:space="0" w:color="000000"/>
                    <w:left w:val="nil"/>
                    <w:bottom w:val="single" w:sz="8" w:space="0" w:color="000000"/>
                    <w:right w:val="single" w:sz="4" w:space="0" w:color="auto"/>
                  </w:tcBorders>
                </w:tcPr>
                <w:p w:rsidR="00CA5E90" w:rsidRPr="00CA5E90" w:rsidRDefault="00CA5E90" w:rsidP="003B4788">
                  <w:pPr>
                    <w:pStyle w:val="Default"/>
                    <w:jc w:val="center"/>
                    <w:rPr>
                      <w:rFonts w:ascii="Calibri" w:hAnsi="Calibri" w:cs="Calibri"/>
                      <w:b/>
                      <w:sz w:val="20"/>
                      <w:szCs w:val="20"/>
                    </w:rPr>
                  </w:pP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CA5E90" w:rsidRPr="00CA5E90" w:rsidRDefault="00CA5E90" w:rsidP="003B4788">
                  <w:pPr>
                    <w:pStyle w:val="Default"/>
                    <w:jc w:val="center"/>
                    <w:rPr>
                      <w:rFonts w:ascii="Calibri" w:hAnsi="Calibri" w:cs="Calibri"/>
                      <w:b/>
                      <w:sz w:val="20"/>
                      <w:szCs w:val="20"/>
                    </w:rPr>
                  </w:pPr>
                  <w:r w:rsidRPr="00CA5E90">
                    <w:rPr>
                      <w:rFonts w:ascii="Calibri" w:hAnsi="Calibri" w:cs="Calibri"/>
                      <w:b/>
                      <w:sz w:val="20"/>
                      <w:szCs w:val="20"/>
                    </w:rPr>
                    <w:t>% +/-</w:t>
                  </w:r>
                </w:p>
              </w:tc>
            </w:tr>
            <w:tr w:rsidR="00802A05" w:rsidTr="001261FE">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02A05" w:rsidRPr="001261FE" w:rsidRDefault="00802A05" w:rsidP="001C4A28">
                  <w:pPr>
                    <w:pStyle w:val="Default"/>
                    <w:jc w:val="center"/>
                    <w:rPr>
                      <w:rFonts w:ascii="Calibri" w:hAnsi="Calibri" w:cs="Calibri"/>
                      <w:b/>
                      <w:sz w:val="20"/>
                      <w:szCs w:val="20"/>
                    </w:rPr>
                  </w:pPr>
                  <w:r>
                    <w:rPr>
                      <w:rFonts w:ascii="Calibri" w:hAnsi="Calibri" w:cs="Calibri"/>
                      <w:b/>
                      <w:sz w:val="20"/>
                      <w:szCs w:val="20"/>
                    </w:rPr>
                    <w:t>Winter 2015</w:t>
                  </w:r>
                </w:p>
              </w:tc>
              <w:tc>
                <w:tcPr>
                  <w:tcW w:w="535" w:type="dxa"/>
                  <w:tcBorders>
                    <w:top w:val="single" w:sz="8" w:space="0" w:color="000000"/>
                    <w:left w:val="nil"/>
                    <w:bottom w:val="single" w:sz="8" w:space="0" w:color="000000"/>
                    <w:right w:val="single" w:sz="4" w:space="0" w:color="auto"/>
                  </w:tcBorders>
                </w:tcPr>
                <w:p w:rsidR="00802A05" w:rsidRDefault="006F0CC7" w:rsidP="001C4A28">
                  <w:pPr>
                    <w:pStyle w:val="Default"/>
                    <w:jc w:val="center"/>
                    <w:rPr>
                      <w:rFonts w:ascii="Calibri" w:hAnsi="Calibri" w:cs="Calibri"/>
                      <w:sz w:val="20"/>
                      <w:szCs w:val="20"/>
                    </w:rPr>
                  </w:pPr>
                  <w:r>
                    <w:rPr>
                      <w:rFonts w:ascii="Calibri" w:hAnsi="Calibri" w:cs="Calibri"/>
                      <w:sz w:val="20"/>
                      <w:szCs w:val="20"/>
                    </w:rPr>
                    <w:t>1</w:t>
                  </w:r>
                </w:p>
              </w:tc>
              <w:tc>
                <w:tcPr>
                  <w:tcW w:w="286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Pr="005B7A7C" w:rsidRDefault="00802A05" w:rsidP="001C4A28">
                  <w:pPr>
                    <w:pStyle w:val="Default"/>
                    <w:jc w:val="center"/>
                    <w:rPr>
                      <w:rFonts w:ascii="Calibri" w:hAnsi="Calibri" w:cs="Calibri"/>
                      <w:b/>
                      <w:sz w:val="20"/>
                      <w:szCs w:val="20"/>
                    </w:rPr>
                  </w:pPr>
                  <w:r>
                    <w:rPr>
                      <w:rFonts w:ascii="Calibri" w:hAnsi="Calibri" w:cs="Calibri"/>
                      <w:b/>
                      <w:sz w:val="20"/>
                      <w:szCs w:val="20"/>
                    </w:rPr>
                    <w:t>Winter 2016</w:t>
                  </w:r>
                </w:p>
              </w:tc>
              <w:tc>
                <w:tcPr>
                  <w:tcW w:w="993" w:type="dxa"/>
                  <w:tcBorders>
                    <w:top w:val="single" w:sz="8" w:space="0" w:color="000000"/>
                    <w:left w:val="nil"/>
                    <w:bottom w:val="single" w:sz="8" w:space="0" w:color="000000"/>
                    <w:right w:val="single" w:sz="4" w:space="0" w:color="auto"/>
                  </w:tcBorders>
                </w:tcPr>
                <w:p w:rsidR="00802A05" w:rsidRDefault="0055052D" w:rsidP="00780475">
                  <w:pPr>
                    <w:pStyle w:val="Default"/>
                    <w:jc w:val="center"/>
                    <w:rPr>
                      <w:rFonts w:ascii="Calibri" w:hAnsi="Calibri" w:cs="Calibri"/>
                      <w:sz w:val="20"/>
                      <w:szCs w:val="20"/>
                    </w:rPr>
                  </w:pPr>
                  <w:r>
                    <w:rPr>
                      <w:rFonts w:ascii="Calibri" w:hAnsi="Calibri" w:cs="Calibri"/>
                      <w:sz w:val="20"/>
                      <w:szCs w:val="20"/>
                    </w:rPr>
                    <w:t>1</w:t>
                  </w:r>
                </w:p>
              </w:tc>
              <w:tc>
                <w:tcPr>
                  <w:tcW w:w="212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802A05" w:rsidRDefault="00CA027D" w:rsidP="00780475">
                  <w:pPr>
                    <w:pStyle w:val="Default"/>
                    <w:jc w:val="center"/>
                    <w:rPr>
                      <w:rFonts w:ascii="Calibri" w:hAnsi="Calibri" w:cs="Calibri"/>
                      <w:sz w:val="20"/>
                      <w:szCs w:val="20"/>
                    </w:rPr>
                  </w:pPr>
                  <w:r>
                    <w:rPr>
                      <w:rFonts w:ascii="Calibri" w:hAnsi="Calibri" w:cs="Calibri"/>
                      <w:sz w:val="20"/>
                      <w:szCs w:val="20"/>
                    </w:rPr>
                    <w:t>-</w:t>
                  </w:r>
                </w:p>
              </w:tc>
            </w:tr>
          </w:tbl>
          <w:p w:rsidR="00111560" w:rsidRDefault="00111560" w:rsidP="000C70D3">
            <w:pPr>
              <w:pStyle w:val="Default"/>
              <w:rPr>
                <w:rFonts w:asciiTheme="minorHAnsi" w:hAnsiTheme="minorHAnsi" w:cstheme="minorHAnsi"/>
                <w:sz w:val="20"/>
                <w:szCs w:val="20"/>
              </w:rPr>
            </w:pPr>
          </w:p>
          <w:p w:rsidR="00DF7567" w:rsidRDefault="00DF7567" w:rsidP="000C70D3">
            <w:pPr>
              <w:pStyle w:val="Default"/>
              <w:rPr>
                <w:rFonts w:asciiTheme="minorHAnsi" w:hAnsiTheme="minorHAnsi" w:cstheme="minorHAnsi"/>
                <w:sz w:val="20"/>
                <w:szCs w:val="20"/>
              </w:rPr>
            </w:pPr>
          </w:p>
          <w:p w:rsidR="009B293F" w:rsidRDefault="009B293F" w:rsidP="000C70D3">
            <w:pPr>
              <w:pStyle w:val="Default"/>
              <w:rPr>
                <w:rFonts w:asciiTheme="minorHAnsi" w:hAnsiTheme="minorHAnsi" w:cstheme="minorHAnsi"/>
                <w:sz w:val="20"/>
                <w:szCs w:val="20"/>
              </w:rPr>
            </w:pPr>
          </w:p>
          <w:p w:rsidR="009B293F" w:rsidRPr="00111560" w:rsidRDefault="009B293F" w:rsidP="000C70D3">
            <w:pPr>
              <w:pStyle w:val="Default"/>
              <w:rPr>
                <w:rFonts w:asciiTheme="minorHAnsi" w:hAnsiTheme="minorHAnsi" w:cstheme="minorHAnsi"/>
                <w:sz w:val="20"/>
                <w:szCs w:val="20"/>
              </w:rPr>
            </w:pPr>
          </w:p>
        </w:tc>
      </w:tr>
      <w:tr w:rsidR="005D6534" w:rsidRPr="00111560" w:rsidTr="005D6534">
        <w:tc>
          <w:tcPr>
            <w:tcW w:w="9576" w:type="dxa"/>
          </w:tcPr>
          <w:p w:rsidR="006B6137" w:rsidRPr="00DF7567" w:rsidRDefault="00FF64F8" w:rsidP="005D6534">
            <w:pPr>
              <w:pStyle w:val="Default"/>
              <w:rPr>
                <w:rFonts w:asciiTheme="minorHAnsi" w:hAnsiTheme="minorHAnsi" w:cstheme="minorHAnsi"/>
                <w:b/>
                <w:sz w:val="20"/>
                <w:szCs w:val="20"/>
                <w:highlight w:val="yellow"/>
              </w:rPr>
            </w:pPr>
            <w:r w:rsidRPr="00DF7567">
              <w:rPr>
                <w:rFonts w:asciiTheme="minorHAnsi" w:hAnsiTheme="minorHAnsi" w:cstheme="minorHAnsi"/>
                <w:b/>
                <w:sz w:val="20"/>
                <w:szCs w:val="20"/>
                <w:highlight w:val="yellow"/>
              </w:rPr>
              <w:lastRenderedPageBreak/>
              <w:t xml:space="preserve">INVESTING IN OUR </w:t>
            </w:r>
            <w:r w:rsidR="00CD41F6" w:rsidRPr="00DF7567">
              <w:rPr>
                <w:rFonts w:asciiTheme="minorHAnsi" w:hAnsiTheme="minorHAnsi" w:cstheme="minorHAnsi"/>
                <w:b/>
                <w:sz w:val="20"/>
                <w:szCs w:val="20"/>
                <w:highlight w:val="yellow"/>
              </w:rPr>
              <w:t>STUDENTS</w:t>
            </w:r>
          </w:p>
          <w:p w:rsidR="00711D40" w:rsidRPr="00DF7567" w:rsidRDefault="00711D40" w:rsidP="007164C2">
            <w:pPr>
              <w:pStyle w:val="Default"/>
              <w:rPr>
                <w:rFonts w:asciiTheme="minorHAnsi" w:hAnsiTheme="minorHAnsi" w:cstheme="minorHAnsi"/>
                <w:sz w:val="20"/>
                <w:szCs w:val="20"/>
                <w:highlight w:val="yellow"/>
              </w:rPr>
            </w:pPr>
          </w:p>
        </w:tc>
      </w:tr>
      <w:tr w:rsidR="00C1304B" w:rsidRPr="00111560" w:rsidTr="005D6534">
        <w:tc>
          <w:tcPr>
            <w:tcW w:w="9576" w:type="dxa"/>
          </w:tcPr>
          <w:p w:rsidR="00D759C2" w:rsidRPr="00DF7567" w:rsidRDefault="00DF7567" w:rsidP="00DF7567">
            <w:pPr>
              <w:pStyle w:val="Default"/>
              <w:rPr>
                <w:rFonts w:asciiTheme="minorHAnsi" w:hAnsiTheme="minorHAnsi" w:cstheme="minorHAnsi"/>
                <w:sz w:val="20"/>
                <w:szCs w:val="20"/>
                <w:highlight w:val="yellow"/>
              </w:rPr>
            </w:pPr>
            <w:r>
              <w:rPr>
                <w:rFonts w:asciiTheme="minorHAnsi" w:hAnsiTheme="minorHAnsi" w:cstheme="minorHAnsi"/>
                <w:sz w:val="20"/>
                <w:szCs w:val="20"/>
                <w:highlight w:val="yellow"/>
              </w:rPr>
              <w:t>Fitness and Health Promotion – presentation to engage for future CE offerings and camp counsellors.</w:t>
            </w:r>
          </w:p>
        </w:tc>
      </w:tr>
      <w:tr w:rsidR="00C1304B" w:rsidRPr="00111560" w:rsidTr="005D6534">
        <w:tc>
          <w:tcPr>
            <w:tcW w:w="9576" w:type="dxa"/>
          </w:tcPr>
          <w:p w:rsidR="00C1304B" w:rsidRPr="00DF7567" w:rsidRDefault="00CD41F6" w:rsidP="005D6534">
            <w:pPr>
              <w:pStyle w:val="Default"/>
              <w:rPr>
                <w:rFonts w:asciiTheme="minorHAnsi" w:hAnsiTheme="minorHAnsi" w:cstheme="minorHAnsi"/>
                <w:b/>
                <w:sz w:val="20"/>
                <w:szCs w:val="20"/>
                <w:highlight w:val="yellow"/>
              </w:rPr>
            </w:pPr>
            <w:r w:rsidRPr="00DF7567">
              <w:rPr>
                <w:rFonts w:asciiTheme="minorHAnsi" w:hAnsiTheme="minorHAnsi" w:cstheme="minorHAnsi"/>
                <w:b/>
                <w:sz w:val="20"/>
                <w:szCs w:val="20"/>
                <w:highlight w:val="yellow"/>
              </w:rPr>
              <w:t>CONNECTING WITH COMMUNITY PARTNERS</w:t>
            </w:r>
          </w:p>
          <w:p w:rsidR="00075C6E" w:rsidRPr="00DF7567" w:rsidRDefault="005440CA" w:rsidP="00075C6E">
            <w:pPr>
              <w:rPr>
                <w:rFonts w:cstheme="minorHAnsi"/>
                <w:sz w:val="20"/>
                <w:szCs w:val="20"/>
                <w:highlight w:val="yellow"/>
                <w:u w:val="single"/>
              </w:rPr>
            </w:pPr>
            <w:r w:rsidRPr="00DF7567">
              <w:rPr>
                <w:rFonts w:cstheme="minorHAnsi"/>
                <w:sz w:val="20"/>
                <w:szCs w:val="20"/>
                <w:highlight w:val="yellow"/>
                <w:u w:val="single"/>
              </w:rPr>
              <w:t>Seven Generations Education Institute</w:t>
            </w:r>
          </w:p>
          <w:p w:rsidR="005440CA" w:rsidRPr="00DF7567" w:rsidRDefault="005440CA" w:rsidP="00075C6E">
            <w:pPr>
              <w:rPr>
                <w:rFonts w:cstheme="minorHAnsi"/>
                <w:sz w:val="20"/>
                <w:szCs w:val="20"/>
                <w:highlight w:val="yellow"/>
              </w:rPr>
            </w:pPr>
            <w:proofErr w:type="spellStart"/>
            <w:r w:rsidRPr="00DF7567">
              <w:rPr>
                <w:rFonts w:cstheme="minorHAnsi"/>
                <w:sz w:val="20"/>
                <w:szCs w:val="20"/>
                <w:highlight w:val="yellow"/>
              </w:rPr>
              <w:t>Anishnaabemowin</w:t>
            </w:r>
            <w:proofErr w:type="spellEnd"/>
            <w:r w:rsidRPr="00DF7567">
              <w:rPr>
                <w:rFonts w:cstheme="minorHAnsi"/>
                <w:sz w:val="20"/>
                <w:szCs w:val="20"/>
                <w:highlight w:val="yellow"/>
              </w:rPr>
              <w:t xml:space="preserve"> Immersion – 12 students</w:t>
            </w:r>
          </w:p>
          <w:p w:rsidR="005440CA" w:rsidRPr="00DF7567" w:rsidRDefault="005440CA" w:rsidP="00075C6E">
            <w:pPr>
              <w:rPr>
                <w:rFonts w:cstheme="minorHAnsi"/>
                <w:sz w:val="20"/>
                <w:szCs w:val="20"/>
                <w:highlight w:val="yellow"/>
              </w:rPr>
            </w:pPr>
            <w:r w:rsidRPr="00DF7567">
              <w:rPr>
                <w:rFonts w:cstheme="minorHAnsi"/>
                <w:sz w:val="20"/>
                <w:szCs w:val="20"/>
                <w:highlight w:val="yellow"/>
              </w:rPr>
              <w:t>Welding Techniques – 14 students</w:t>
            </w:r>
          </w:p>
          <w:p w:rsidR="005440CA" w:rsidRPr="00DF7567" w:rsidRDefault="005440CA" w:rsidP="00075C6E">
            <w:pPr>
              <w:rPr>
                <w:rFonts w:cstheme="minorHAnsi"/>
                <w:sz w:val="20"/>
                <w:szCs w:val="20"/>
                <w:highlight w:val="yellow"/>
              </w:rPr>
            </w:pPr>
          </w:p>
          <w:p w:rsidR="005440CA" w:rsidRPr="00DF7567" w:rsidRDefault="005440CA" w:rsidP="00075C6E">
            <w:pPr>
              <w:rPr>
                <w:rFonts w:cstheme="minorHAnsi"/>
                <w:sz w:val="20"/>
                <w:szCs w:val="20"/>
                <w:highlight w:val="yellow"/>
                <w:u w:val="single"/>
              </w:rPr>
            </w:pPr>
            <w:proofErr w:type="spellStart"/>
            <w:r w:rsidRPr="00DF7567">
              <w:rPr>
                <w:rFonts w:cstheme="minorHAnsi"/>
                <w:sz w:val="20"/>
                <w:szCs w:val="20"/>
                <w:highlight w:val="yellow"/>
                <w:u w:val="single"/>
              </w:rPr>
              <w:t>Kengjewin</w:t>
            </w:r>
            <w:proofErr w:type="spellEnd"/>
            <w:r w:rsidRPr="00DF7567">
              <w:rPr>
                <w:rFonts w:cstheme="minorHAnsi"/>
                <w:sz w:val="20"/>
                <w:szCs w:val="20"/>
                <w:highlight w:val="yellow"/>
                <w:u w:val="single"/>
              </w:rPr>
              <w:t xml:space="preserve"> </w:t>
            </w:r>
            <w:proofErr w:type="spellStart"/>
            <w:r w:rsidRPr="00DF7567">
              <w:rPr>
                <w:rFonts w:cstheme="minorHAnsi"/>
                <w:sz w:val="20"/>
                <w:szCs w:val="20"/>
                <w:highlight w:val="yellow"/>
                <w:u w:val="single"/>
              </w:rPr>
              <w:t>Teg</w:t>
            </w:r>
            <w:proofErr w:type="spellEnd"/>
            <w:r w:rsidRPr="00DF7567">
              <w:rPr>
                <w:rFonts w:cstheme="minorHAnsi"/>
                <w:sz w:val="20"/>
                <w:szCs w:val="20"/>
                <w:highlight w:val="yellow"/>
                <w:u w:val="single"/>
              </w:rPr>
              <w:t xml:space="preserve"> Education Institute</w:t>
            </w:r>
          </w:p>
          <w:p w:rsidR="005440CA" w:rsidRPr="00DF7567" w:rsidRDefault="005440CA" w:rsidP="00075C6E">
            <w:pPr>
              <w:rPr>
                <w:rFonts w:cstheme="minorHAnsi"/>
                <w:sz w:val="20"/>
                <w:szCs w:val="20"/>
                <w:highlight w:val="yellow"/>
              </w:rPr>
            </w:pPr>
            <w:proofErr w:type="spellStart"/>
            <w:r w:rsidRPr="00DF7567">
              <w:rPr>
                <w:rFonts w:cstheme="minorHAnsi"/>
                <w:sz w:val="20"/>
                <w:szCs w:val="20"/>
                <w:highlight w:val="yellow"/>
              </w:rPr>
              <w:t>Anishnaabemowin</w:t>
            </w:r>
            <w:proofErr w:type="spellEnd"/>
            <w:r w:rsidRPr="00DF7567">
              <w:rPr>
                <w:rFonts w:cstheme="minorHAnsi"/>
                <w:sz w:val="20"/>
                <w:szCs w:val="20"/>
                <w:highlight w:val="yellow"/>
              </w:rPr>
              <w:t xml:space="preserve"> Immersion – 7 students</w:t>
            </w:r>
          </w:p>
          <w:p w:rsidR="005440CA" w:rsidRPr="00DF7567" w:rsidRDefault="005440CA" w:rsidP="00075C6E">
            <w:pPr>
              <w:rPr>
                <w:rFonts w:cstheme="minorHAnsi"/>
                <w:sz w:val="20"/>
                <w:szCs w:val="20"/>
                <w:highlight w:val="yellow"/>
              </w:rPr>
            </w:pPr>
          </w:p>
          <w:p w:rsidR="005440CA" w:rsidRPr="00DF7567" w:rsidRDefault="005440CA" w:rsidP="00075C6E">
            <w:pPr>
              <w:rPr>
                <w:rFonts w:cstheme="minorHAnsi"/>
                <w:sz w:val="20"/>
                <w:szCs w:val="20"/>
                <w:highlight w:val="yellow"/>
                <w:u w:val="single"/>
              </w:rPr>
            </w:pPr>
            <w:proofErr w:type="spellStart"/>
            <w:r w:rsidRPr="00DF7567">
              <w:rPr>
                <w:rFonts w:cstheme="minorHAnsi"/>
                <w:sz w:val="20"/>
                <w:szCs w:val="20"/>
                <w:highlight w:val="yellow"/>
                <w:u w:val="single"/>
              </w:rPr>
              <w:t>Anishinabek</w:t>
            </w:r>
            <w:proofErr w:type="spellEnd"/>
            <w:r w:rsidRPr="00DF7567">
              <w:rPr>
                <w:rFonts w:cstheme="minorHAnsi"/>
                <w:sz w:val="20"/>
                <w:szCs w:val="20"/>
                <w:highlight w:val="yellow"/>
                <w:u w:val="single"/>
              </w:rPr>
              <w:t xml:space="preserve"> Education Institute</w:t>
            </w:r>
          </w:p>
          <w:p w:rsidR="005440CA" w:rsidRPr="00DF7567" w:rsidRDefault="005440CA" w:rsidP="00075C6E">
            <w:pPr>
              <w:rPr>
                <w:rFonts w:cstheme="minorHAnsi"/>
                <w:sz w:val="20"/>
                <w:szCs w:val="20"/>
                <w:highlight w:val="yellow"/>
              </w:rPr>
            </w:pPr>
            <w:r w:rsidRPr="00DF7567">
              <w:rPr>
                <w:rFonts w:cstheme="minorHAnsi"/>
                <w:sz w:val="20"/>
                <w:szCs w:val="20"/>
                <w:highlight w:val="yellow"/>
              </w:rPr>
              <w:t>Fetal Alcohol Spectrum Disorder – 10 students</w:t>
            </w:r>
          </w:p>
          <w:p w:rsidR="005440CA" w:rsidRPr="00DF7567" w:rsidRDefault="005440CA" w:rsidP="00075C6E">
            <w:pPr>
              <w:rPr>
                <w:rFonts w:cstheme="minorHAnsi"/>
                <w:sz w:val="20"/>
                <w:szCs w:val="20"/>
                <w:highlight w:val="yellow"/>
              </w:rPr>
            </w:pPr>
          </w:p>
          <w:p w:rsidR="00647026" w:rsidRPr="00DF7567" w:rsidRDefault="00647026" w:rsidP="003F2760">
            <w:pPr>
              <w:rPr>
                <w:sz w:val="22"/>
                <w:highlight w:val="yellow"/>
              </w:rPr>
            </w:pPr>
          </w:p>
          <w:p w:rsidR="003F1809" w:rsidRDefault="00493D5E" w:rsidP="003F1809">
            <w:pPr>
              <w:pStyle w:val="Default"/>
              <w:rPr>
                <w:rFonts w:asciiTheme="minorHAnsi" w:hAnsiTheme="minorHAnsi" w:cstheme="minorHAnsi"/>
                <w:sz w:val="20"/>
                <w:szCs w:val="20"/>
                <w:highlight w:val="yellow"/>
              </w:rPr>
            </w:pPr>
            <w:r w:rsidRPr="00DF7567">
              <w:rPr>
                <w:rFonts w:asciiTheme="minorHAnsi" w:hAnsiTheme="minorHAnsi" w:cstheme="minorHAnsi"/>
                <w:sz w:val="20"/>
                <w:szCs w:val="20"/>
                <w:highlight w:val="yellow"/>
              </w:rPr>
              <w:t xml:space="preserve">Sault </w:t>
            </w:r>
            <w:r w:rsidR="00F018B6" w:rsidRPr="00DF7567">
              <w:rPr>
                <w:rFonts w:asciiTheme="minorHAnsi" w:hAnsiTheme="minorHAnsi" w:cstheme="minorHAnsi"/>
                <w:sz w:val="20"/>
                <w:szCs w:val="20"/>
                <w:highlight w:val="yellow"/>
              </w:rPr>
              <w:t>College</w:t>
            </w:r>
            <w:r w:rsidRPr="00DF7567">
              <w:rPr>
                <w:rFonts w:asciiTheme="minorHAnsi" w:hAnsiTheme="minorHAnsi" w:cstheme="minorHAnsi"/>
                <w:sz w:val="20"/>
                <w:szCs w:val="20"/>
                <w:highlight w:val="yellow"/>
              </w:rPr>
              <w:t>’s annual</w:t>
            </w:r>
            <w:r w:rsidR="00F018B6" w:rsidRPr="00DF7567">
              <w:rPr>
                <w:rFonts w:asciiTheme="minorHAnsi" w:hAnsiTheme="minorHAnsi" w:cstheme="minorHAnsi"/>
                <w:sz w:val="20"/>
                <w:szCs w:val="20"/>
                <w:highlight w:val="yellow"/>
              </w:rPr>
              <w:t xml:space="preserve"> job fair was held </w:t>
            </w:r>
            <w:r w:rsidRPr="00DF7567">
              <w:rPr>
                <w:rFonts w:asciiTheme="minorHAnsi" w:hAnsiTheme="minorHAnsi" w:cstheme="minorHAnsi"/>
                <w:sz w:val="20"/>
                <w:szCs w:val="20"/>
                <w:highlight w:val="yellow"/>
              </w:rPr>
              <w:t>on February 8</w:t>
            </w:r>
            <w:r w:rsidRPr="00DF7567">
              <w:rPr>
                <w:rFonts w:asciiTheme="minorHAnsi" w:hAnsiTheme="minorHAnsi" w:cstheme="minorHAnsi"/>
                <w:sz w:val="20"/>
                <w:szCs w:val="20"/>
                <w:highlight w:val="yellow"/>
                <w:vertAlign w:val="superscript"/>
              </w:rPr>
              <w:t>th</w:t>
            </w:r>
            <w:r w:rsidRPr="00DF7567">
              <w:rPr>
                <w:rFonts w:asciiTheme="minorHAnsi" w:hAnsiTheme="minorHAnsi" w:cstheme="minorHAnsi"/>
                <w:sz w:val="20"/>
                <w:szCs w:val="20"/>
                <w:highlight w:val="yellow"/>
              </w:rPr>
              <w:t xml:space="preserve">, 2017. Students from the Building and Construction Maintenance program (program run at the </w:t>
            </w:r>
            <w:proofErr w:type="spellStart"/>
            <w:r w:rsidRPr="00DF7567">
              <w:rPr>
                <w:rFonts w:asciiTheme="minorHAnsi" w:hAnsiTheme="minorHAnsi" w:cstheme="minorHAnsi"/>
                <w:sz w:val="20"/>
                <w:szCs w:val="20"/>
                <w:highlight w:val="yellow"/>
              </w:rPr>
              <w:t>Bushplane</w:t>
            </w:r>
            <w:proofErr w:type="spellEnd"/>
            <w:r w:rsidRPr="00DF7567">
              <w:rPr>
                <w:rFonts w:asciiTheme="minorHAnsi" w:hAnsiTheme="minorHAnsi" w:cstheme="minorHAnsi"/>
                <w:sz w:val="20"/>
                <w:szCs w:val="20"/>
                <w:highlight w:val="yellow"/>
              </w:rPr>
              <w:t xml:space="preserve"> Heritage Museum in partnership with Ontario Works), were given time to attend the job fair. This resulted in two students receiving employment opportunities, both from Lowes. </w:t>
            </w:r>
          </w:p>
          <w:p w:rsidR="00DF7567" w:rsidRDefault="00DF7567" w:rsidP="003F1809">
            <w:pPr>
              <w:pStyle w:val="Default"/>
              <w:rPr>
                <w:rFonts w:asciiTheme="minorHAnsi" w:hAnsiTheme="minorHAnsi" w:cstheme="minorHAnsi"/>
                <w:sz w:val="20"/>
                <w:szCs w:val="20"/>
                <w:highlight w:val="yellow"/>
              </w:rPr>
            </w:pPr>
          </w:p>
          <w:p w:rsidR="00DF7567" w:rsidRDefault="00DF7567" w:rsidP="003F1809">
            <w:pPr>
              <w:pStyle w:val="Default"/>
              <w:rPr>
                <w:rFonts w:asciiTheme="minorHAnsi" w:hAnsiTheme="minorHAnsi" w:cstheme="minorHAnsi"/>
                <w:sz w:val="20"/>
                <w:szCs w:val="20"/>
                <w:highlight w:val="yellow"/>
              </w:rPr>
            </w:pPr>
            <w:r>
              <w:rPr>
                <w:rFonts w:asciiTheme="minorHAnsi" w:hAnsiTheme="minorHAnsi" w:cstheme="minorHAnsi"/>
                <w:sz w:val="20"/>
                <w:szCs w:val="20"/>
                <w:highlight w:val="yellow"/>
              </w:rPr>
              <w:t xml:space="preserve">Partnership with </w:t>
            </w:r>
            <w:proofErr w:type="spellStart"/>
            <w:r>
              <w:rPr>
                <w:rFonts w:asciiTheme="minorHAnsi" w:hAnsiTheme="minorHAnsi" w:cstheme="minorHAnsi"/>
                <w:sz w:val="20"/>
                <w:szCs w:val="20"/>
                <w:highlight w:val="yellow"/>
              </w:rPr>
              <w:t>Entomica</w:t>
            </w:r>
            <w:proofErr w:type="spellEnd"/>
            <w:r>
              <w:rPr>
                <w:rFonts w:asciiTheme="minorHAnsi" w:hAnsiTheme="minorHAnsi" w:cstheme="minorHAnsi"/>
                <w:sz w:val="20"/>
                <w:szCs w:val="20"/>
                <w:highlight w:val="yellow"/>
              </w:rPr>
              <w:t xml:space="preserve"> and </w:t>
            </w:r>
            <w:proofErr w:type="spellStart"/>
            <w:r>
              <w:rPr>
                <w:rFonts w:asciiTheme="minorHAnsi" w:hAnsiTheme="minorHAnsi" w:cstheme="minorHAnsi"/>
                <w:sz w:val="20"/>
                <w:szCs w:val="20"/>
                <w:highlight w:val="yellow"/>
              </w:rPr>
              <w:t>Bushplane</w:t>
            </w:r>
            <w:proofErr w:type="spellEnd"/>
            <w:r>
              <w:rPr>
                <w:rFonts w:asciiTheme="minorHAnsi" w:hAnsiTheme="minorHAnsi" w:cstheme="minorHAnsi"/>
                <w:sz w:val="20"/>
                <w:szCs w:val="20"/>
                <w:highlight w:val="yellow"/>
              </w:rPr>
              <w:t xml:space="preserve"> for summer camps.</w:t>
            </w:r>
          </w:p>
          <w:p w:rsidR="00DF7567" w:rsidRDefault="00DF7567" w:rsidP="003F1809">
            <w:pPr>
              <w:pStyle w:val="Default"/>
              <w:rPr>
                <w:rFonts w:asciiTheme="minorHAnsi" w:hAnsiTheme="minorHAnsi" w:cstheme="minorHAnsi"/>
                <w:sz w:val="20"/>
                <w:szCs w:val="20"/>
                <w:highlight w:val="yellow"/>
              </w:rPr>
            </w:pPr>
          </w:p>
          <w:p w:rsidR="00DF7567" w:rsidRDefault="00DF7567" w:rsidP="003F1809">
            <w:pPr>
              <w:pStyle w:val="Default"/>
              <w:rPr>
                <w:rFonts w:asciiTheme="minorHAnsi" w:hAnsiTheme="minorHAnsi" w:cstheme="minorHAnsi"/>
                <w:sz w:val="20"/>
                <w:szCs w:val="20"/>
                <w:highlight w:val="yellow"/>
              </w:rPr>
            </w:pPr>
            <w:r>
              <w:rPr>
                <w:rFonts w:asciiTheme="minorHAnsi" w:hAnsiTheme="minorHAnsi" w:cstheme="minorHAnsi"/>
                <w:sz w:val="20"/>
                <w:szCs w:val="20"/>
                <w:highlight w:val="yellow"/>
              </w:rPr>
              <w:t>E-Learn strategy</w:t>
            </w:r>
          </w:p>
          <w:p w:rsidR="00DF7567" w:rsidRDefault="00DF7567" w:rsidP="003F1809">
            <w:pPr>
              <w:pStyle w:val="Default"/>
              <w:rPr>
                <w:rFonts w:asciiTheme="minorHAnsi" w:hAnsiTheme="minorHAnsi" w:cstheme="minorHAnsi"/>
                <w:sz w:val="20"/>
                <w:szCs w:val="20"/>
                <w:highlight w:val="yellow"/>
              </w:rPr>
            </w:pPr>
          </w:p>
          <w:p w:rsidR="003F1809" w:rsidRDefault="00DF7567" w:rsidP="00DF7567">
            <w:pPr>
              <w:pStyle w:val="Default"/>
              <w:rPr>
                <w:rFonts w:asciiTheme="minorHAnsi" w:hAnsiTheme="minorHAnsi" w:cstheme="minorHAnsi"/>
                <w:sz w:val="20"/>
                <w:szCs w:val="20"/>
                <w:highlight w:val="yellow"/>
              </w:rPr>
            </w:pPr>
            <w:r>
              <w:rPr>
                <w:rFonts w:asciiTheme="minorHAnsi" w:hAnsiTheme="minorHAnsi" w:cstheme="minorHAnsi"/>
                <w:sz w:val="20"/>
                <w:szCs w:val="20"/>
                <w:highlight w:val="yellow"/>
              </w:rPr>
              <w:t>Partnership with Mohawk College for Corporate Training</w:t>
            </w:r>
          </w:p>
          <w:p w:rsidR="00DF7567" w:rsidRDefault="00DF7567" w:rsidP="00DF7567">
            <w:pPr>
              <w:pStyle w:val="Default"/>
              <w:rPr>
                <w:rFonts w:asciiTheme="minorHAnsi" w:hAnsiTheme="minorHAnsi" w:cstheme="minorHAnsi"/>
                <w:sz w:val="20"/>
                <w:szCs w:val="20"/>
                <w:highlight w:val="yellow"/>
              </w:rPr>
            </w:pPr>
          </w:p>
          <w:p w:rsidR="00DF7567" w:rsidRDefault="00DF7567" w:rsidP="00DF7567">
            <w:pPr>
              <w:pStyle w:val="Default"/>
              <w:rPr>
                <w:rFonts w:asciiTheme="minorHAnsi" w:hAnsiTheme="minorHAnsi" w:cstheme="minorHAnsi"/>
                <w:sz w:val="20"/>
                <w:szCs w:val="20"/>
                <w:highlight w:val="yellow"/>
              </w:rPr>
            </w:pPr>
            <w:r>
              <w:rPr>
                <w:rFonts w:asciiTheme="minorHAnsi" w:hAnsiTheme="minorHAnsi" w:cstheme="minorHAnsi"/>
                <w:sz w:val="20"/>
                <w:szCs w:val="20"/>
                <w:highlight w:val="yellow"/>
              </w:rPr>
              <w:t>Pre-App – recruitment</w:t>
            </w:r>
          </w:p>
          <w:p w:rsidR="00DF7567" w:rsidRDefault="00DF7567" w:rsidP="00DF7567">
            <w:pPr>
              <w:pStyle w:val="Default"/>
              <w:rPr>
                <w:rFonts w:asciiTheme="minorHAnsi" w:hAnsiTheme="minorHAnsi" w:cstheme="minorHAnsi"/>
                <w:sz w:val="20"/>
                <w:szCs w:val="20"/>
                <w:highlight w:val="yellow"/>
              </w:rPr>
            </w:pPr>
          </w:p>
          <w:p w:rsidR="00DF7567" w:rsidRDefault="00DF7567" w:rsidP="00DF7567">
            <w:pPr>
              <w:pStyle w:val="Default"/>
              <w:rPr>
                <w:rFonts w:asciiTheme="minorHAnsi" w:hAnsiTheme="minorHAnsi" w:cstheme="minorHAnsi"/>
                <w:sz w:val="20"/>
                <w:szCs w:val="20"/>
                <w:highlight w:val="yellow"/>
              </w:rPr>
            </w:pPr>
            <w:r>
              <w:rPr>
                <w:rFonts w:asciiTheme="minorHAnsi" w:hAnsiTheme="minorHAnsi" w:cstheme="minorHAnsi"/>
                <w:sz w:val="20"/>
                <w:szCs w:val="20"/>
                <w:highlight w:val="yellow"/>
              </w:rPr>
              <w:t>Habitat showcase</w:t>
            </w:r>
          </w:p>
          <w:p w:rsidR="00DF7567" w:rsidRPr="00DF7567" w:rsidRDefault="00DF7567" w:rsidP="00DF7567">
            <w:pPr>
              <w:pStyle w:val="Default"/>
              <w:rPr>
                <w:rFonts w:asciiTheme="minorHAnsi" w:hAnsiTheme="minorHAnsi" w:cstheme="minorHAnsi"/>
                <w:sz w:val="20"/>
                <w:szCs w:val="20"/>
                <w:highlight w:val="yellow"/>
              </w:rPr>
            </w:pPr>
          </w:p>
        </w:tc>
      </w:tr>
      <w:tr w:rsidR="001E3DE3" w:rsidRPr="00111560" w:rsidTr="005D6534">
        <w:tc>
          <w:tcPr>
            <w:tcW w:w="9576" w:type="dxa"/>
          </w:tcPr>
          <w:p w:rsidR="00163207" w:rsidRPr="00111560" w:rsidRDefault="00163207" w:rsidP="00CA667B">
            <w:pPr>
              <w:pStyle w:val="Default"/>
              <w:rPr>
                <w:rFonts w:asciiTheme="minorHAnsi" w:hAnsiTheme="minorHAnsi" w:cstheme="minorHAnsi"/>
                <w:sz w:val="20"/>
                <w:szCs w:val="20"/>
              </w:rPr>
            </w:pPr>
          </w:p>
        </w:tc>
      </w:tr>
    </w:tbl>
    <w:p w:rsidR="004D5E60" w:rsidRPr="00111560" w:rsidRDefault="004D5E60" w:rsidP="005C159C">
      <w:pPr>
        <w:jc w:val="right"/>
        <w:rPr>
          <w:rFonts w:cstheme="minorHAnsi"/>
          <w:sz w:val="20"/>
          <w:szCs w:val="20"/>
        </w:rPr>
      </w:pPr>
    </w:p>
    <w:sectPr w:rsidR="004D5E60" w:rsidRPr="00111560" w:rsidSect="00C81703">
      <w:footerReference w:type="default" r:id="rId9"/>
      <w:pgSz w:w="12240" w:h="15840"/>
      <w:pgMar w:top="1361" w:right="1440" w:bottom="130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ED" w:rsidRPr="001E3DE3" w:rsidRDefault="00D70BED" w:rsidP="001E3DE3">
      <w:pPr>
        <w:pStyle w:val="Default"/>
        <w:rPr>
          <w:rFonts w:asciiTheme="minorHAnsi" w:hAnsiTheme="minorHAnsi" w:cstheme="minorBidi"/>
          <w:color w:val="auto"/>
          <w:szCs w:val="22"/>
        </w:rPr>
      </w:pPr>
      <w:r>
        <w:separator/>
      </w:r>
    </w:p>
  </w:endnote>
  <w:endnote w:type="continuationSeparator" w:id="0">
    <w:p w:rsidR="00D70BED" w:rsidRPr="001E3DE3" w:rsidRDefault="00D70BED" w:rsidP="001E3DE3">
      <w:pPr>
        <w:pStyle w:val="Default"/>
        <w:rPr>
          <w:rFonts w:asciiTheme="minorHAnsi" w:hAnsiTheme="minorHAnsi" w:cstheme="minorBidi"/>
          <w:color w:val="auto"/>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74798"/>
      <w:docPartObj>
        <w:docPartGallery w:val="Page Numbers (Bottom of Page)"/>
        <w:docPartUnique/>
      </w:docPartObj>
    </w:sdtPr>
    <w:sdtEndPr>
      <w:rPr>
        <w:noProof/>
      </w:rPr>
    </w:sdtEndPr>
    <w:sdtContent>
      <w:p w:rsidR="00D70BED" w:rsidRDefault="00D70BED">
        <w:pPr>
          <w:pStyle w:val="Footer"/>
          <w:jc w:val="right"/>
        </w:pPr>
        <w:r>
          <w:fldChar w:fldCharType="begin"/>
        </w:r>
        <w:r>
          <w:instrText xml:space="preserve"> PAGE   \* MERGEFORMAT </w:instrText>
        </w:r>
        <w:r>
          <w:fldChar w:fldCharType="separate"/>
        </w:r>
        <w:r w:rsidR="001B7B29">
          <w:rPr>
            <w:noProof/>
          </w:rPr>
          <w:t>1</w:t>
        </w:r>
        <w:r>
          <w:rPr>
            <w:noProof/>
          </w:rPr>
          <w:fldChar w:fldCharType="end"/>
        </w:r>
      </w:p>
    </w:sdtContent>
  </w:sdt>
  <w:p w:rsidR="00D70BED" w:rsidRDefault="00D70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ED" w:rsidRPr="001E3DE3" w:rsidRDefault="00D70BED" w:rsidP="001E3DE3">
      <w:pPr>
        <w:pStyle w:val="Default"/>
        <w:rPr>
          <w:rFonts w:asciiTheme="minorHAnsi" w:hAnsiTheme="minorHAnsi" w:cstheme="minorBidi"/>
          <w:color w:val="auto"/>
          <w:szCs w:val="22"/>
        </w:rPr>
      </w:pPr>
      <w:r>
        <w:separator/>
      </w:r>
    </w:p>
  </w:footnote>
  <w:footnote w:type="continuationSeparator" w:id="0">
    <w:p w:rsidR="00D70BED" w:rsidRPr="001E3DE3" w:rsidRDefault="00D70BED" w:rsidP="001E3DE3">
      <w:pPr>
        <w:pStyle w:val="Default"/>
        <w:rPr>
          <w:rFonts w:asciiTheme="minorHAnsi" w:hAnsiTheme="minorHAnsi" w:cstheme="minorBidi"/>
          <w:color w:val="auto"/>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6B5E"/>
    <w:multiLevelType w:val="hybridMultilevel"/>
    <w:tmpl w:val="91A2A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46149E"/>
    <w:multiLevelType w:val="hybridMultilevel"/>
    <w:tmpl w:val="4072E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015225A"/>
    <w:multiLevelType w:val="hybridMultilevel"/>
    <w:tmpl w:val="F328CA08"/>
    <w:lvl w:ilvl="0" w:tplc="E24C38EC">
      <w:numFmt w:val="bullet"/>
      <w:lvlText w:val="•"/>
      <w:lvlJc w:val="left"/>
      <w:pPr>
        <w:ind w:left="456" w:hanging="456"/>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D45584"/>
    <w:multiLevelType w:val="hybridMultilevel"/>
    <w:tmpl w:val="A072C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4B67FF"/>
    <w:multiLevelType w:val="hybridMultilevel"/>
    <w:tmpl w:val="495E1F4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5">
    <w:nsid w:val="13EC0A99"/>
    <w:multiLevelType w:val="hybridMultilevel"/>
    <w:tmpl w:val="752A6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C803E5"/>
    <w:multiLevelType w:val="hybridMultilevel"/>
    <w:tmpl w:val="526C83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0CF5257"/>
    <w:multiLevelType w:val="hybridMultilevel"/>
    <w:tmpl w:val="B2D2D00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42E737D"/>
    <w:multiLevelType w:val="hybridMultilevel"/>
    <w:tmpl w:val="ACB88D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CFF3619"/>
    <w:multiLevelType w:val="hybridMultilevel"/>
    <w:tmpl w:val="1AE8B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5E58D9"/>
    <w:multiLevelType w:val="hybridMultilevel"/>
    <w:tmpl w:val="7AE88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2091099"/>
    <w:multiLevelType w:val="hybridMultilevel"/>
    <w:tmpl w:val="BD388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45D6927"/>
    <w:multiLevelType w:val="hybridMultilevel"/>
    <w:tmpl w:val="8E20CB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47D3059"/>
    <w:multiLevelType w:val="hybridMultilevel"/>
    <w:tmpl w:val="FCF25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260547"/>
    <w:multiLevelType w:val="hybridMultilevel"/>
    <w:tmpl w:val="36B8BB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7BC3044"/>
    <w:multiLevelType w:val="hybridMultilevel"/>
    <w:tmpl w:val="C28AC9C4"/>
    <w:lvl w:ilvl="0" w:tplc="E24C38EC">
      <w:numFmt w:val="bullet"/>
      <w:lvlText w:val="•"/>
      <w:lvlJc w:val="left"/>
      <w:pPr>
        <w:ind w:left="816" w:hanging="456"/>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7DA3436"/>
    <w:multiLevelType w:val="hybridMultilevel"/>
    <w:tmpl w:val="4F1445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151895"/>
    <w:multiLevelType w:val="hybridMultilevel"/>
    <w:tmpl w:val="FD30BF20"/>
    <w:lvl w:ilvl="0" w:tplc="B4547D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A7B6ECF"/>
    <w:multiLevelType w:val="hybridMultilevel"/>
    <w:tmpl w:val="1EA05E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72667D8"/>
    <w:multiLevelType w:val="hybridMultilevel"/>
    <w:tmpl w:val="495018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DB51328"/>
    <w:multiLevelType w:val="hybridMultilevel"/>
    <w:tmpl w:val="30F46478"/>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num w:numId="1">
    <w:abstractNumId w:val="18"/>
  </w:num>
  <w:num w:numId="2">
    <w:abstractNumId w:val="7"/>
  </w:num>
  <w:num w:numId="3">
    <w:abstractNumId w:val="14"/>
  </w:num>
  <w:num w:numId="4">
    <w:abstractNumId w:val="12"/>
  </w:num>
  <w:num w:numId="5">
    <w:abstractNumId w:val="19"/>
  </w:num>
  <w:num w:numId="6">
    <w:abstractNumId w:val="1"/>
  </w:num>
  <w:num w:numId="7">
    <w:abstractNumId w:val="8"/>
  </w:num>
  <w:num w:numId="8">
    <w:abstractNumId w:val="6"/>
  </w:num>
  <w:num w:numId="9">
    <w:abstractNumId w:val="16"/>
  </w:num>
  <w:num w:numId="10">
    <w:abstractNumId w:val="11"/>
  </w:num>
  <w:num w:numId="11">
    <w:abstractNumId w:val="10"/>
  </w:num>
  <w:num w:numId="12">
    <w:abstractNumId w:val="2"/>
  </w:num>
  <w:num w:numId="13">
    <w:abstractNumId w:val="15"/>
  </w:num>
  <w:num w:numId="14">
    <w:abstractNumId w:val="17"/>
  </w:num>
  <w:num w:numId="15">
    <w:abstractNumId w:val="9"/>
  </w:num>
  <w:num w:numId="16">
    <w:abstractNumId w:val="4"/>
  </w:num>
  <w:num w:numId="17">
    <w:abstractNumId w:val="20"/>
  </w:num>
  <w:num w:numId="18">
    <w:abstractNumId w:val="0"/>
  </w:num>
  <w:num w:numId="19">
    <w:abstractNumId w:val="3"/>
  </w:num>
  <w:num w:numId="20">
    <w:abstractNumId w:val="13"/>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34"/>
    <w:rsid w:val="00010244"/>
    <w:rsid w:val="000167C4"/>
    <w:rsid w:val="00017B1B"/>
    <w:rsid w:val="00017C28"/>
    <w:rsid w:val="000417AD"/>
    <w:rsid w:val="00043D3F"/>
    <w:rsid w:val="00045374"/>
    <w:rsid w:val="00051AEE"/>
    <w:rsid w:val="00052D54"/>
    <w:rsid w:val="00054157"/>
    <w:rsid w:val="00060684"/>
    <w:rsid w:val="000610A3"/>
    <w:rsid w:val="00065DDF"/>
    <w:rsid w:val="00075C6E"/>
    <w:rsid w:val="00094484"/>
    <w:rsid w:val="00097523"/>
    <w:rsid w:val="000A30CF"/>
    <w:rsid w:val="000B371B"/>
    <w:rsid w:val="000C6C89"/>
    <w:rsid w:val="000C70D3"/>
    <w:rsid w:val="000E6B32"/>
    <w:rsid w:val="00107132"/>
    <w:rsid w:val="00107580"/>
    <w:rsid w:val="00111560"/>
    <w:rsid w:val="0011323F"/>
    <w:rsid w:val="0011734B"/>
    <w:rsid w:val="00120D9F"/>
    <w:rsid w:val="001261FE"/>
    <w:rsid w:val="00126771"/>
    <w:rsid w:val="001323F9"/>
    <w:rsid w:val="00140A0F"/>
    <w:rsid w:val="00163207"/>
    <w:rsid w:val="00173253"/>
    <w:rsid w:val="00177116"/>
    <w:rsid w:val="00190A8C"/>
    <w:rsid w:val="00191AD3"/>
    <w:rsid w:val="0019537C"/>
    <w:rsid w:val="00196177"/>
    <w:rsid w:val="001A4FA0"/>
    <w:rsid w:val="001B2E60"/>
    <w:rsid w:val="001B37D2"/>
    <w:rsid w:val="001B3C24"/>
    <w:rsid w:val="001B5FE1"/>
    <w:rsid w:val="001B7B29"/>
    <w:rsid w:val="001E3DE3"/>
    <w:rsid w:val="001F2481"/>
    <w:rsid w:val="001F5FF2"/>
    <w:rsid w:val="002015DB"/>
    <w:rsid w:val="00206ED5"/>
    <w:rsid w:val="00210F95"/>
    <w:rsid w:val="002137EE"/>
    <w:rsid w:val="00230E0E"/>
    <w:rsid w:val="00246CBB"/>
    <w:rsid w:val="002523DD"/>
    <w:rsid w:val="002535B1"/>
    <w:rsid w:val="00257837"/>
    <w:rsid w:val="002646A4"/>
    <w:rsid w:val="00267DF4"/>
    <w:rsid w:val="00271117"/>
    <w:rsid w:val="00275AD7"/>
    <w:rsid w:val="00286D60"/>
    <w:rsid w:val="00292C9C"/>
    <w:rsid w:val="00294D03"/>
    <w:rsid w:val="002A0C55"/>
    <w:rsid w:val="002B18AD"/>
    <w:rsid w:val="002B526D"/>
    <w:rsid w:val="002E1A5F"/>
    <w:rsid w:val="002E1FB9"/>
    <w:rsid w:val="002E688F"/>
    <w:rsid w:val="002F68AF"/>
    <w:rsid w:val="0030179C"/>
    <w:rsid w:val="00312073"/>
    <w:rsid w:val="00323248"/>
    <w:rsid w:val="0033264E"/>
    <w:rsid w:val="00333E7F"/>
    <w:rsid w:val="003348E9"/>
    <w:rsid w:val="00352A96"/>
    <w:rsid w:val="003726F3"/>
    <w:rsid w:val="003733F2"/>
    <w:rsid w:val="0038722A"/>
    <w:rsid w:val="00397E79"/>
    <w:rsid w:val="003A1515"/>
    <w:rsid w:val="003A5D23"/>
    <w:rsid w:val="003B3A12"/>
    <w:rsid w:val="003B4788"/>
    <w:rsid w:val="003B76CB"/>
    <w:rsid w:val="003C663E"/>
    <w:rsid w:val="003E431F"/>
    <w:rsid w:val="003E6A70"/>
    <w:rsid w:val="003F1809"/>
    <w:rsid w:val="003F2760"/>
    <w:rsid w:val="003F3A40"/>
    <w:rsid w:val="00405FA7"/>
    <w:rsid w:val="004175E2"/>
    <w:rsid w:val="00420CC9"/>
    <w:rsid w:val="00422A27"/>
    <w:rsid w:val="004671AE"/>
    <w:rsid w:val="004925DB"/>
    <w:rsid w:val="00493D5E"/>
    <w:rsid w:val="00494890"/>
    <w:rsid w:val="004A1E48"/>
    <w:rsid w:val="004A5436"/>
    <w:rsid w:val="004D4A1A"/>
    <w:rsid w:val="004D5E60"/>
    <w:rsid w:val="004D71A4"/>
    <w:rsid w:val="004E043D"/>
    <w:rsid w:val="004F2065"/>
    <w:rsid w:val="00514913"/>
    <w:rsid w:val="00526BC4"/>
    <w:rsid w:val="0053618F"/>
    <w:rsid w:val="00540CF5"/>
    <w:rsid w:val="005440CA"/>
    <w:rsid w:val="005442E1"/>
    <w:rsid w:val="0055052D"/>
    <w:rsid w:val="00551FB9"/>
    <w:rsid w:val="005520D1"/>
    <w:rsid w:val="00567D20"/>
    <w:rsid w:val="0057440D"/>
    <w:rsid w:val="00581CD2"/>
    <w:rsid w:val="00584B65"/>
    <w:rsid w:val="00590158"/>
    <w:rsid w:val="005A4487"/>
    <w:rsid w:val="005A51EC"/>
    <w:rsid w:val="005B2B2B"/>
    <w:rsid w:val="005B7A7C"/>
    <w:rsid w:val="005C159C"/>
    <w:rsid w:val="005C2358"/>
    <w:rsid w:val="005D6534"/>
    <w:rsid w:val="005D7FA8"/>
    <w:rsid w:val="005E05C1"/>
    <w:rsid w:val="005F1C42"/>
    <w:rsid w:val="006031AD"/>
    <w:rsid w:val="00607B65"/>
    <w:rsid w:val="00612565"/>
    <w:rsid w:val="00614316"/>
    <w:rsid w:val="00614965"/>
    <w:rsid w:val="0061746F"/>
    <w:rsid w:val="00621F32"/>
    <w:rsid w:val="00623168"/>
    <w:rsid w:val="00633942"/>
    <w:rsid w:val="006373A4"/>
    <w:rsid w:val="00642950"/>
    <w:rsid w:val="00643EBC"/>
    <w:rsid w:val="00644314"/>
    <w:rsid w:val="006447A5"/>
    <w:rsid w:val="00647026"/>
    <w:rsid w:val="006513D1"/>
    <w:rsid w:val="0065581D"/>
    <w:rsid w:val="00656411"/>
    <w:rsid w:val="00662BB8"/>
    <w:rsid w:val="00681AD3"/>
    <w:rsid w:val="006840A0"/>
    <w:rsid w:val="00686AE5"/>
    <w:rsid w:val="00687F54"/>
    <w:rsid w:val="006A1B8B"/>
    <w:rsid w:val="006B10B4"/>
    <w:rsid w:val="006B6137"/>
    <w:rsid w:val="006D1A14"/>
    <w:rsid w:val="006F0CC7"/>
    <w:rsid w:val="006F5934"/>
    <w:rsid w:val="00711D40"/>
    <w:rsid w:val="00714C4E"/>
    <w:rsid w:val="007164C2"/>
    <w:rsid w:val="007205CE"/>
    <w:rsid w:val="00752B98"/>
    <w:rsid w:val="00756A60"/>
    <w:rsid w:val="007572B5"/>
    <w:rsid w:val="007666E0"/>
    <w:rsid w:val="00780475"/>
    <w:rsid w:val="00781FF5"/>
    <w:rsid w:val="00784696"/>
    <w:rsid w:val="007859CD"/>
    <w:rsid w:val="00785CE9"/>
    <w:rsid w:val="00787DA3"/>
    <w:rsid w:val="00790B20"/>
    <w:rsid w:val="0079232D"/>
    <w:rsid w:val="007A7A34"/>
    <w:rsid w:val="007B236C"/>
    <w:rsid w:val="007B3A42"/>
    <w:rsid w:val="007C388A"/>
    <w:rsid w:val="007C422A"/>
    <w:rsid w:val="007C7E7E"/>
    <w:rsid w:val="007D59A7"/>
    <w:rsid w:val="007E0473"/>
    <w:rsid w:val="007F4841"/>
    <w:rsid w:val="00801F65"/>
    <w:rsid w:val="00802A05"/>
    <w:rsid w:val="00803B99"/>
    <w:rsid w:val="00804685"/>
    <w:rsid w:val="00831B3C"/>
    <w:rsid w:val="00840C7B"/>
    <w:rsid w:val="00845AAA"/>
    <w:rsid w:val="00851193"/>
    <w:rsid w:val="00862483"/>
    <w:rsid w:val="00862C3A"/>
    <w:rsid w:val="00881F67"/>
    <w:rsid w:val="00892EC6"/>
    <w:rsid w:val="00896BC2"/>
    <w:rsid w:val="008A1C36"/>
    <w:rsid w:val="008A480A"/>
    <w:rsid w:val="008B42F2"/>
    <w:rsid w:val="008B4D2B"/>
    <w:rsid w:val="008C5F28"/>
    <w:rsid w:val="008C79D8"/>
    <w:rsid w:val="008D1ED4"/>
    <w:rsid w:val="008D205A"/>
    <w:rsid w:val="008E0DE5"/>
    <w:rsid w:val="008F5A6E"/>
    <w:rsid w:val="00907AB1"/>
    <w:rsid w:val="0091046E"/>
    <w:rsid w:val="00911FD2"/>
    <w:rsid w:val="00915F5B"/>
    <w:rsid w:val="00927B33"/>
    <w:rsid w:val="00931A7E"/>
    <w:rsid w:val="009350EC"/>
    <w:rsid w:val="00943007"/>
    <w:rsid w:val="0094684F"/>
    <w:rsid w:val="00953ED3"/>
    <w:rsid w:val="00957C8C"/>
    <w:rsid w:val="00967450"/>
    <w:rsid w:val="009845EC"/>
    <w:rsid w:val="00987E0C"/>
    <w:rsid w:val="00995A86"/>
    <w:rsid w:val="00997A0B"/>
    <w:rsid w:val="009A67DC"/>
    <w:rsid w:val="009A6D0B"/>
    <w:rsid w:val="009B11B4"/>
    <w:rsid w:val="009B293F"/>
    <w:rsid w:val="009B393B"/>
    <w:rsid w:val="009C1E7E"/>
    <w:rsid w:val="009C2883"/>
    <w:rsid w:val="009C2E8B"/>
    <w:rsid w:val="009C5B3A"/>
    <w:rsid w:val="009C7D5E"/>
    <w:rsid w:val="009D2FEB"/>
    <w:rsid w:val="009E3994"/>
    <w:rsid w:val="009F779A"/>
    <w:rsid w:val="00A151EF"/>
    <w:rsid w:val="00A16E20"/>
    <w:rsid w:val="00A2730B"/>
    <w:rsid w:val="00A32BFA"/>
    <w:rsid w:val="00A4323B"/>
    <w:rsid w:val="00A46773"/>
    <w:rsid w:val="00A64B17"/>
    <w:rsid w:val="00A71973"/>
    <w:rsid w:val="00A738B9"/>
    <w:rsid w:val="00A76018"/>
    <w:rsid w:val="00A80F1F"/>
    <w:rsid w:val="00A821AD"/>
    <w:rsid w:val="00A821F4"/>
    <w:rsid w:val="00A82462"/>
    <w:rsid w:val="00A84588"/>
    <w:rsid w:val="00AB16A2"/>
    <w:rsid w:val="00AB61C7"/>
    <w:rsid w:val="00AC174E"/>
    <w:rsid w:val="00AD3449"/>
    <w:rsid w:val="00AD5188"/>
    <w:rsid w:val="00AE5185"/>
    <w:rsid w:val="00AE760D"/>
    <w:rsid w:val="00AE77EA"/>
    <w:rsid w:val="00AF1216"/>
    <w:rsid w:val="00B00101"/>
    <w:rsid w:val="00B214EA"/>
    <w:rsid w:val="00B23BAA"/>
    <w:rsid w:val="00B27300"/>
    <w:rsid w:val="00B53C78"/>
    <w:rsid w:val="00B5599B"/>
    <w:rsid w:val="00B7123C"/>
    <w:rsid w:val="00B76B99"/>
    <w:rsid w:val="00B80FCC"/>
    <w:rsid w:val="00B8267A"/>
    <w:rsid w:val="00B84D1E"/>
    <w:rsid w:val="00B86683"/>
    <w:rsid w:val="00B90817"/>
    <w:rsid w:val="00BA1307"/>
    <w:rsid w:val="00BA1843"/>
    <w:rsid w:val="00BA2390"/>
    <w:rsid w:val="00BC72A7"/>
    <w:rsid w:val="00BE2B53"/>
    <w:rsid w:val="00BE40A2"/>
    <w:rsid w:val="00BE5D7E"/>
    <w:rsid w:val="00BF618C"/>
    <w:rsid w:val="00BF79BD"/>
    <w:rsid w:val="00C04CF2"/>
    <w:rsid w:val="00C05E57"/>
    <w:rsid w:val="00C10843"/>
    <w:rsid w:val="00C12A82"/>
    <w:rsid w:val="00C1304B"/>
    <w:rsid w:val="00C14098"/>
    <w:rsid w:val="00C16C1A"/>
    <w:rsid w:val="00C173C6"/>
    <w:rsid w:val="00C31C9D"/>
    <w:rsid w:val="00C34E6C"/>
    <w:rsid w:val="00C45BB8"/>
    <w:rsid w:val="00C52081"/>
    <w:rsid w:val="00C55690"/>
    <w:rsid w:val="00C60B96"/>
    <w:rsid w:val="00C623B8"/>
    <w:rsid w:val="00C63E21"/>
    <w:rsid w:val="00C64C7F"/>
    <w:rsid w:val="00C703FE"/>
    <w:rsid w:val="00C727B4"/>
    <w:rsid w:val="00C74D67"/>
    <w:rsid w:val="00C81703"/>
    <w:rsid w:val="00C83466"/>
    <w:rsid w:val="00C86255"/>
    <w:rsid w:val="00C918F9"/>
    <w:rsid w:val="00C951E5"/>
    <w:rsid w:val="00CA027D"/>
    <w:rsid w:val="00CA11B4"/>
    <w:rsid w:val="00CA5E90"/>
    <w:rsid w:val="00CA667B"/>
    <w:rsid w:val="00CB1424"/>
    <w:rsid w:val="00CB1DCA"/>
    <w:rsid w:val="00CB4927"/>
    <w:rsid w:val="00CC42E1"/>
    <w:rsid w:val="00CD2235"/>
    <w:rsid w:val="00CD24DF"/>
    <w:rsid w:val="00CD34E3"/>
    <w:rsid w:val="00CD41F6"/>
    <w:rsid w:val="00CD52BC"/>
    <w:rsid w:val="00CD72F2"/>
    <w:rsid w:val="00D01DFE"/>
    <w:rsid w:val="00D02016"/>
    <w:rsid w:val="00D068EB"/>
    <w:rsid w:val="00D079DD"/>
    <w:rsid w:val="00D22F1D"/>
    <w:rsid w:val="00D33DC1"/>
    <w:rsid w:val="00D35D94"/>
    <w:rsid w:val="00D45A7D"/>
    <w:rsid w:val="00D55998"/>
    <w:rsid w:val="00D5669D"/>
    <w:rsid w:val="00D70BED"/>
    <w:rsid w:val="00D71D17"/>
    <w:rsid w:val="00D71D87"/>
    <w:rsid w:val="00D744A6"/>
    <w:rsid w:val="00D759C2"/>
    <w:rsid w:val="00D76B02"/>
    <w:rsid w:val="00D82C7F"/>
    <w:rsid w:val="00D91607"/>
    <w:rsid w:val="00DA29CB"/>
    <w:rsid w:val="00DA29FC"/>
    <w:rsid w:val="00DB1EA0"/>
    <w:rsid w:val="00DD30D3"/>
    <w:rsid w:val="00DD6D32"/>
    <w:rsid w:val="00DF1D79"/>
    <w:rsid w:val="00DF7567"/>
    <w:rsid w:val="00E00740"/>
    <w:rsid w:val="00E07914"/>
    <w:rsid w:val="00E11DDC"/>
    <w:rsid w:val="00E14799"/>
    <w:rsid w:val="00E2509B"/>
    <w:rsid w:val="00E31707"/>
    <w:rsid w:val="00E400C5"/>
    <w:rsid w:val="00E41F31"/>
    <w:rsid w:val="00E43B13"/>
    <w:rsid w:val="00E44B95"/>
    <w:rsid w:val="00E56D63"/>
    <w:rsid w:val="00E6297F"/>
    <w:rsid w:val="00E7504F"/>
    <w:rsid w:val="00E84D78"/>
    <w:rsid w:val="00E86C73"/>
    <w:rsid w:val="00E871BB"/>
    <w:rsid w:val="00EA540B"/>
    <w:rsid w:val="00EA5795"/>
    <w:rsid w:val="00EB1AD6"/>
    <w:rsid w:val="00EB5DB5"/>
    <w:rsid w:val="00EC1E54"/>
    <w:rsid w:val="00EC344C"/>
    <w:rsid w:val="00EC728D"/>
    <w:rsid w:val="00EC7ADA"/>
    <w:rsid w:val="00ED25ED"/>
    <w:rsid w:val="00EE31CD"/>
    <w:rsid w:val="00EE3C41"/>
    <w:rsid w:val="00EE4336"/>
    <w:rsid w:val="00EF10B8"/>
    <w:rsid w:val="00EF18EB"/>
    <w:rsid w:val="00EF39CF"/>
    <w:rsid w:val="00EF42CA"/>
    <w:rsid w:val="00EF5C1B"/>
    <w:rsid w:val="00EF5ED2"/>
    <w:rsid w:val="00F018B6"/>
    <w:rsid w:val="00F03043"/>
    <w:rsid w:val="00F06CFD"/>
    <w:rsid w:val="00F157A5"/>
    <w:rsid w:val="00F215AD"/>
    <w:rsid w:val="00F26694"/>
    <w:rsid w:val="00F3311C"/>
    <w:rsid w:val="00F3527F"/>
    <w:rsid w:val="00F415C1"/>
    <w:rsid w:val="00F4211B"/>
    <w:rsid w:val="00F5471C"/>
    <w:rsid w:val="00F57642"/>
    <w:rsid w:val="00F57C33"/>
    <w:rsid w:val="00F7088E"/>
    <w:rsid w:val="00F72E1F"/>
    <w:rsid w:val="00F87D92"/>
    <w:rsid w:val="00FA6D03"/>
    <w:rsid w:val="00FB516A"/>
    <w:rsid w:val="00FC01A3"/>
    <w:rsid w:val="00FC0F9C"/>
    <w:rsid w:val="00FC419B"/>
    <w:rsid w:val="00FC66FB"/>
    <w:rsid w:val="00FD63F1"/>
    <w:rsid w:val="00FF38F6"/>
    <w:rsid w:val="00FF38FE"/>
    <w:rsid w:val="00FF64F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6534"/>
    <w:pPr>
      <w:autoSpaceDE w:val="0"/>
      <w:autoSpaceDN w:val="0"/>
      <w:adjustRightInd w:val="0"/>
    </w:pPr>
    <w:rPr>
      <w:rFonts w:ascii="Arial" w:hAnsi="Arial" w:cs="Arial"/>
      <w:color w:val="000000"/>
      <w:szCs w:val="24"/>
    </w:rPr>
  </w:style>
  <w:style w:type="table" w:styleId="TableGrid">
    <w:name w:val="Table Grid"/>
    <w:basedOn w:val="TableNormal"/>
    <w:uiPriority w:val="59"/>
    <w:rsid w:val="005D65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E3DE3"/>
    <w:pPr>
      <w:tabs>
        <w:tab w:val="center" w:pos="4680"/>
        <w:tab w:val="right" w:pos="9360"/>
      </w:tabs>
    </w:pPr>
  </w:style>
  <w:style w:type="character" w:customStyle="1" w:styleId="HeaderChar">
    <w:name w:val="Header Char"/>
    <w:basedOn w:val="DefaultParagraphFont"/>
    <w:link w:val="Header"/>
    <w:uiPriority w:val="99"/>
    <w:rsid w:val="001E3DE3"/>
  </w:style>
  <w:style w:type="paragraph" w:styleId="Footer">
    <w:name w:val="footer"/>
    <w:basedOn w:val="Normal"/>
    <w:link w:val="FooterChar"/>
    <w:uiPriority w:val="99"/>
    <w:unhideWhenUsed/>
    <w:rsid w:val="001E3DE3"/>
    <w:pPr>
      <w:tabs>
        <w:tab w:val="center" w:pos="4680"/>
        <w:tab w:val="right" w:pos="9360"/>
      </w:tabs>
    </w:pPr>
  </w:style>
  <w:style w:type="character" w:customStyle="1" w:styleId="FooterChar">
    <w:name w:val="Footer Char"/>
    <w:basedOn w:val="DefaultParagraphFont"/>
    <w:link w:val="Footer"/>
    <w:uiPriority w:val="99"/>
    <w:rsid w:val="001E3DE3"/>
  </w:style>
  <w:style w:type="paragraph" w:styleId="BalloonText">
    <w:name w:val="Balloon Text"/>
    <w:basedOn w:val="Normal"/>
    <w:link w:val="BalloonTextChar"/>
    <w:uiPriority w:val="99"/>
    <w:semiHidden/>
    <w:unhideWhenUsed/>
    <w:rsid w:val="006A1B8B"/>
    <w:rPr>
      <w:rFonts w:ascii="Tahoma" w:hAnsi="Tahoma" w:cs="Tahoma"/>
      <w:sz w:val="16"/>
      <w:szCs w:val="16"/>
    </w:rPr>
  </w:style>
  <w:style w:type="character" w:customStyle="1" w:styleId="BalloonTextChar">
    <w:name w:val="Balloon Text Char"/>
    <w:basedOn w:val="DefaultParagraphFont"/>
    <w:link w:val="BalloonText"/>
    <w:uiPriority w:val="99"/>
    <w:semiHidden/>
    <w:rsid w:val="006A1B8B"/>
    <w:rPr>
      <w:rFonts w:ascii="Tahoma" w:hAnsi="Tahoma" w:cs="Tahoma"/>
      <w:sz w:val="16"/>
      <w:szCs w:val="16"/>
    </w:rPr>
  </w:style>
  <w:style w:type="paragraph" w:styleId="ListParagraph">
    <w:name w:val="List Paragraph"/>
    <w:basedOn w:val="Normal"/>
    <w:uiPriority w:val="34"/>
    <w:qFormat/>
    <w:rsid w:val="00C31C9D"/>
    <w:pPr>
      <w:ind w:left="720"/>
      <w:contextualSpacing/>
    </w:pPr>
  </w:style>
  <w:style w:type="character" w:styleId="Emphasis">
    <w:name w:val="Emphasis"/>
    <w:basedOn w:val="DefaultParagraphFont"/>
    <w:uiPriority w:val="20"/>
    <w:qFormat/>
    <w:rsid w:val="00FA6D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6534"/>
    <w:pPr>
      <w:autoSpaceDE w:val="0"/>
      <w:autoSpaceDN w:val="0"/>
      <w:adjustRightInd w:val="0"/>
    </w:pPr>
    <w:rPr>
      <w:rFonts w:ascii="Arial" w:hAnsi="Arial" w:cs="Arial"/>
      <w:color w:val="000000"/>
      <w:szCs w:val="24"/>
    </w:rPr>
  </w:style>
  <w:style w:type="table" w:styleId="TableGrid">
    <w:name w:val="Table Grid"/>
    <w:basedOn w:val="TableNormal"/>
    <w:uiPriority w:val="59"/>
    <w:rsid w:val="005D65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E3DE3"/>
    <w:pPr>
      <w:tabs>
        <w:tab w:val="center" w:pos="4680"/>
        <w:tab w:val="right" w:pos="9360"/>
      </w:tabs>
    </w:pPr>
  </w:style>
  <w:style w:type="character" w:customStyle="1" w:styleId="HeaderChar">
    <w:name w:val="Header Char"/>
    <w:basedOn w:val="DefaultParagraphFont"/>
    <w:link w:val="Header"/>
    <w:uiPriority w:val="99"/>
    <w:rsid w:val="001E3DE3"/>
  </w:style>
  <w:style w:type="paragraph" w:styleId="Footer">
    <w:name w:val="footer"/>
    <w:basedOn w:val="Normal"/>
    <w:link w:val="FooterChar"/>
    <w:uiPriority w:val="99"/>
    <w:unhideWhenUsed/>
    <w:rsid w:val="001E3DE3"/>
    <w:pPr>
      <w:tabs>
        <w:tab w:val="center" w:pos="4680"/>
        <w:tab w:val="right" w:pos="9360"/>
      </w:tabs>
    </w:pPr>
  </w:style>
  <w:style w:type="character" w:customStyle="1" w:styleId="FooterChar">
    <w:name w:val="Footer Char"/>
    <w:basedOn w:val="DefaultParagraphFont"/>
    <w:link w:val="Footer"/>
    <w:uiPriority w:val="99"/>
    <w:rsid w:val="001E3DE3"/>
  </w:style>
  <w:style w:type="paragraph" w:styleId="BalloonText">
    <w:name w:val="Balloon Text"/>
    <w:basedOn w:val="Normal"/>
    <w:link w:val="BalloonTextChar"/>
    <w:uiPriority w:val="99"/>
    <w:semiHidden/>
    <w:unhideWhenUsed/>
    <w:rsid w:val="006A1B8B"/>
    <w:rPr>
      <w:rFonts w:ascii="Tahoma" w:hAnsi="Tahoma" w:cs="Tahoma"/>
      <w:sz w:val="16"/>
      <w:szCs w:val="16"/>
    </w:rPr>
  </w:style>
  <w:style w:type="character" w:customStyle="1" w:styleId="BalloonTextChar">
    <w:name w:val="Balloon Text Char"/>
    <w:basedOn w:val="DefaultParagraphFont"/>
    <w:link w:val="BalloonText"/>
    <w:uiPriority w:val="99"/>
    <w:semiHidden/>
    <w:rsid w:val="006A1B8B"/>
    <w:rPr>
      <w:rFonts w:ascii="Tahoma" w:hAnsi="Tahoma" w:cs="Tahoma"/>
      <w:sz w:val="16"/>
      <w:szCs w:val="16"/>
    </w:rPr>
  </w:style>
  <w:style w:type="paragraph" w:styleId="ListParagraph">
    <w:name w:val="List Paragraph"/>
    <w:basedOn w:val="Normal"/>
    <w:uiPriority w:val="34"/>
    <w:qFormat/>
    <w:rsid w:val="00C31C9D"/>
    <w:pPr>
      <w:ind w:left="720"/>
      <w:contextualSpacing/>
    </w:pPr>
  </w:style>
  <w:style w:type="character" w:styleId="Emphasis">
    <w:name w:val="Emphasis"/>
    <w:basedOn w:val="DefaultParagraphFont"/>
    <w:uiPriority w:val="20"/>
    <w:qFormat/>
    <w:rsid w:val="00FA6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2981">
      <w:bodyDiv w:val="1"/>
      <w:marLeft w:val="0"/>
      <w:marRight w:val="0"/>
      <w:marTop w:val="0"/>
      <w:marBottom w:val="0"/>
      <w:divBdr>
        <w:top w:val="none" w:sz="0" w:space="0" w:color="auto"/>
        <w:left w:val="none" w:sz="0" w:space="0" w:color="auto"/>
        <w:bottom w:val="none" w:sz="0" w:space="0" w:color="auto"/>
        <w:right w:val="none" w:sz="0" w:space="0" w:color="auto"/>
      </w:divBdr>
    </w:div>
    <w:div w:id="545065104">
      <w:bodyDiv w:val="1"/>
      <w:marLeft w:val="0"/>
      <w:marRight w:val="0"/>
      <w:marTop w:val="0"/>
      <w:marBottom w:val="0"/>
      <w:divBdr>
        <w:top w:val="none" w:sz="0" w:space="0" w:color="auto"/>
        <w:left w:val="none" w:sz="0" w:space="0" w:color="auto"/>
        <w:bottom w:val="none" w:sz="0" w:space="0" w:color="auto"/>
        <w:right w:val="none" w:sz="0" w:space="0" w:color="auto"/>
      </w:divBdr>
    </w:div>
    <w:div w:id="984774774">
      <w:bodyDiv w:val="1"/>
      <w:marLeft w:val="0"/>
      <w:marRight w:val="0"/>
      <w:marTop w:val="0"/>
      <w:marBottom w:val="0"/>
      <w:divBdr>
        <w:top w:val="none" w:sz="0" w:space="0" w:color="auto"/>
        <w:left w:val="none" w:sz="0" w:space="0" w:color="auto"/>
        <w:bottom w:val="none" w:sz="0" w:space="0" w:color="auto"/>
        <w:right w:val="none" w:sz="0" w:space="0" w:color="auto"/>
      </w:divBdr>
    </w:div>
    <w:div w:id="1218471834">
      <w:bodyDiv w:val="1"/>
      <w:marLeft w:val="0"/>
      <w:marRight w:val="0"/>
      <w:marTop w:val="0"/>
      <w:marBottom w:val="0"/>
      <w:divBdr>
        <w:top w:val="none" w:sz="0" w:space="0" w:color="auto"/>
        <w:left w:val="none" w:sz="0" w:space="0" w:color="auto"/>
        <w:bottom w:val="none" w:sz="0" w:space="0" w:color="auto"/>
        <w:right w:val="none" w:sz="0" w:space="0" w:color="auto"/>
      </w:divBdr>
    </w:div>
    <w:div w:id="1373919928">
      <w:bodyDiv w:val="1"/>
      <w:marLeft w:val="0"/>
      <w:marRight w:val="0"/>
      <w:marTop w:val="0"/>
      <w:marBottom w:val="0"/>
      <w:divBdr>
        <w:top w:val="none" w:sz="0" w:space="0" w:color="auto"/>
        <w:left w:val="none" w:sz="0" w:space="0" w:color="auto"/>
        <w:bottom w:val="none" w:sz="0" w:space="0" w:color="auto"/>
        <w:right w:val="none" w:sz="0" w:space="0" w:color="auto"/>
      </w:divBdr>
    </w:div>
    <w:div w:id="1382906148">
      <w:bodyDiv w:val="1"/>
      <w:marLeft w:val="0"/>
      <w:marRight w:val="0"/>
      <w:marTop w:val="0"/>
      <w:marBottom w:val="0"/>
      <w:divBdr>
        <w:top w:val="none" w:sz="0" w:space="0" w:color="auto"/>
        <w:left w:val="none" w:sz="0" w:space="0" w:color="auto"/>
        <w:bottom w:val="none" w:sz="0" w:space="0" w:color="auto"/>
        <w:right w:val="none" w:sz="0" w:space="0" w:color="auto"/>
      </w:divBdr>
    </w:div>
    <w:div w:id="1459716091">
      <w:bodyDiv w:val="1"/>
      <w:marLeft w:val="0"/>
      <w:marRight w:val="0"/>
      <w:marTop w:val="0"/>
      <w:marBottom w:val="0"/>
      <w:divBdr>
        <w:top w:val="none" w:sz="0" w:space="0" w:color="auto"/>
        <w:left w:val="none" w:sz="0" w:space="0" w:color="auto"/>
        <w:bottom w:val="none" w:sz="0" w:space="0" w:color="auto"/>
        <w:right w:val="none" w:sz="0" w:space="0" w:color="auto"/>
      </w:divBdr>
    </w:div>
    <w:div w:id="1511065286">
      <w:bodyDiv w:val="1"/>
      <w:marLeft w:val="0"/>
      <w:marRight w:val="0"/>
      <w:marTop w:val="0"/>
      <w:marBottom w:val="0"/>
      <w:divBdr>
        <w:top w:val="none" w:sz="0" w:space="0" w:color="auto"/>
        <w:left w:val="none" w:sz="0" w:space="0" w:color="auto"/>
        <w:bottom w:val="none" w:sz="0" w:space="0" w:color="auto"/>
        <w:right w:val="none" w:sz="0" w:space="0" w:color="auto"/>
      </w:divBdr>
    </w:div>
    <w:div w:id="1674799572">
      <w:bodyDiv w:val="1"/>
      <w:marLeft w:val="0"/>
      <w:marRight w:val="0"/>
      <w:marTop w:val="0"/>
      <w:marBottom w:val="0"/>
      <w:divBdr>
        <w:top w:val="none" w:sz="0" w:space="0" w:color="auto"/>
        <w:left w:val="none" w:sz="0" w:space="0" w:color="auto"/>
        <w:bottom w:val="none" w:sz="0" w:space="0" w:color="auto"/>
        <w:right w:val="none" w:sz="0" w:space="0" w:color="auto"/>
      </w:divBdr>
    </w:div>
    <w:div w:id="1938708195">
      <w:bodyDiv w:val="1"/>
      <w:marLeft w:val="0"/>
      <w:marRight w:val="0"/>
      <w:marTop w:val="0"/>
      <w:marBottom w:val="0"/>
      <w:divBdr>
        <w:top w:val="none" w:sz="0" w:space="0" w:color="auto"/>
        <w:left w:val="none" w:sz="0" w:space="0" w:color="auto"/>
        <w:bottom w:val="none" w:sz="0" w:space="0" w:color="auto"/>
        <w:right w:val="none" w:sz="0" w:space="0" w:color="auto"/>
      </w:divBdr>
    </w:div>
    <w:div w:id="1975672498">
      <w:bodyDiv w:val="1"/>
      <w:marLeft w:val="0"/>
      <w:marRight w:val="0"/>
      <w:marTop w:val="0"/>
      <w:marBottom w:val="0"/>
      <w:divBdr>
        <w:top w:val="none" w:sz="0" w:space="0" w:color="auto"/>
        <w:left w:val="none" w:sz="0" w:space="0" w:color="auto"/>
        <w:bottom w:val="none" w:sz="0" w:space="0" w:color="auto"/>
        <w:right w:val="none" w:sz="0" w:space="0" w:color="auto"/>
      </w:divBdr>
    </w:div>
    <w:div w:id="2082436122">
      <w:bodyDiv w:val="1"/>
      <w:marLeft w:val="0"/>
      <w:marRight w:val="0"/>
      <w:marTop w:val="0"/>
      <w:marBottom w:val="0"/>
      <w:divBdr>
        <w:top w:val="none" w:sz="0" w:space="0" w:color="auto"/>
        <w:left w:val="none" w:sz="0" w:space="0" w:color="auto"/>
        <w:bottom w:val="none" w:sz="0" w:space="0" w:color="auto"/>
        <w:right w:val="none" w:sz="0" w:space="0" w:color="auto"/>
      </w:divBdr>
    </w:div>
    <w:div w:id="210607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2B622-B686-4452-8DAE-26A79287ED0D}"/>
</file>

<file path=customXml/itemProps2.xml><?xml version="1.0" encoding="utf-8"?>
<ds:datastoreItem xmlns:ds="http://schemas.openxmlformats.org/officeDocument/2006/customXml" ds:itemID="{4262759C-5536-4CB0-95D1-DED27B77B0DE}"/>
</file>

<file path=customXml/itemProps3.xml><?xml version="1.0" encoding="utf-8"?>
<ds:datastoreItem xmlns:ds="http://schemas.openxmlformats.org/officeDocument/2006/customXml" ds:itemID="{33398331-CA18-4D1C-BE43-86679900ADF7}"/>
</file>

<file path=docProps/app.xml><?xml version="1.0" encoding="utf-8"?>
<Properties xmlns="http://schemas.openxmlformats.org/officeDocument/2006/extended-properties" xmlns:vt="http://schemas.openxmlformats.org/officeDocument/2006/docPropsVTypes">
  <Template>Normal.dotm</Template>
  <TotalTime>143</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hedwards</dc:creator>
  <cp:lastModifiedBy>ITS Deploy</cp:lastModifiedBy>
  <cp:revision>5</cp:revision>
  <cp:lastPrinted>2016-02-05T16:48:00Z</cp:lastPrinted>
  <dcterms:created xsi:type="dcterms:W3CDTF">2017-03-06T19:58:00Z</dcterms:created>
  <dcterms:modified xsi:type="dcterms:W3CDTF">2017-04-21T18:59:00Z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8550800</vt:r8>
  </property>
</Properties>
</file>